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B069D">
      <w:pPr>
        <w:adjustRightInd w:val="0"/>
        <w:snapToGrid w:val="0"/>
        <w:spacing w:line="360" w:lineRule="auto"/>
        <w:rPr>
          <w:rFonts w:hint="eastAsia" w:ascii="宋体" w:hAnsi="宋体" w:cs="宋体"/>
          <w:kern w:val="0"/>
          <w:szCs w:val="21"/>
        </w:rPr>
      </w:pPr>
      <w:r>
        <w:rPr>
          <w:rFonts w:hint="eastAsia" w:ascii="宋体" w:hAnsi="宋体" w:cs="宋体"/>
          <w:sz w:val="30"/>
          <w:szCs w:val="30"/>
        </w:rPr>
        <w:t>项目名称</w:t>
      </w:r>
      <w:r>
        <w:rPr>
          <w:rFonts w:hint="eastAsia" w:ascii="宋体" w:hAnsi="宋体" w:cs="宋体"/>
          <w:sz w:val="28"/>
          <w:szCs w:val="28"/>
        </w:rPr>
        <w:t>：</w:t>
      </w:r>
      <w:r>
        <w:rPr>
          <w:rFonts w:hint="eastAsia" w:ascii="宋体" w:hAnsi="宋体" w:cs="宋体"/>
          <w:sz w:val="28"/>
          <w:szCs w:val="28"/>
          <w:u w:val="single"/>
        </w:rPr>
        <w:t xml:space="preserve">  渝开发2024年年度市场监测咨询服务合作</w:t>
      </w:r>
      <w:r>
        <w:rPr>
          <w:rFonts w:ascii="宋体" w:hAnsi="宋体" w:cs="宋体"/>
          <w:sz w:val="28"/>
          <w:szCs w:val="28"/>
          <w:u w:val="single"/>
        </w:rPr>
        <w:t>单位</w:t>
      </w:r>
      <w:r>
        <w:rPr>
          <w:rFonts w:hint="eastAsia" w:ascii="宋体" w:hAnsi="宋体" w:cs="宋体"/>
          <w:sz w:val="28"/>
          <w:szCs w:val="28"/>
          <w:u w:val="single"/>
        </w:rPr>
        <w:t>竞争性比选文件</w:t>
      </w:r>
      <w:r>
        <w:rPr>
          <w:rFonts w:hint="eastAsia" w:ascii="宋体" w:hAnsi="宋体" w:cs="宋体"/>
          <w:sz w:val="28"/>
          <w:szCs w:val="28"/>
          <w:u w:val="single"/>
          <w:lang w:eastAsia="zh-CN"/>
        </w:rPr>
        <w:t>（</w:t>
      </w:r>
      <w:r>
        <w:rPr>
          <w:rFonts w:hint="eastAsia" w:ascii="宋体" w:hAnsi="宋体" w:cs="宋体"/>
          <w:sz w:val="28"/>
          <w:szCs w:val="28"/>
          <w:u w:val="single"/>
          <w:lang w:val="en-US" w:eastAsia="zh-CN"/>
        </w:rPr>
        <w:t>第二次</w:t>
      </w:r>
      <w:r>
        <w:rPr>
          <w:rFonts w:hint="eastAsia" w:ascii="宋体" w:hAnsi="宋体" w:cs="宋体"/>
          <w:sz w:val="28"/>
          <w:szCs w:val="28"/>
          <w:u w:val="single"/>
          <w:lang w:eastAsia="zh-CN"/>
        </w:rPr>
        <w:t>）</w:t>
      </w:r>
      <w:r>
        <w:rPr>
          <w:rFonts w:hint="eastAsia" w:ascii="宋体" w:hAnsi="宋体" w:cs="宋体"/>
          <w:sz w:val="28"/>
          <w:szCs w:val="28"/>
          <w:u w:val="single"/>
        </w:rPr>
        <w:t xml:space="preserve">   </w:t>
      </w:r>
    </w:p>
    <w:p w14:paraId="256C7AE8">
      <w:pPr>
        <w:spacing w:line="360" w:lineRule="auto"/>
        <w:rPr>
          <w:rFonts w:hint="eastAsia" w:ascii="宋体" w:hAnsi="宋体" w:cs="宋体"/>
          <w:kern w:val="0"/>
          <w:szCs w:val="21"/>
          <w:u w:val="single"/>
        </w:rPr>
      </w:pPr>
      <w:r>
        <w:rPr>
          <w:rFonts w:hint="eastAsia" w:ascii="宋体" w:hAnsi="宋体"/>
          <w:sz w:val="30"/>
          <w:szCs w:val="30"/>
        </w:rPr>
        <w:t xml:space="preserve">比选文件编号: </w:t>
      </w:r>
      <w:r>
        <w:rPr>
          <w:rFonts w:hint="eastAsia" w:ascii="宋体" w:hAnsi="宋体"/>
          <w:sz w:val="30"/>
          <w:szCs w:val="30"/>
          <w:u w:val="single"/>
        </w:rPr>
        <w:t xml:space="preserve">                                       </w:t>
      </w:r>
      <w:r>
        <w:rPr>
          <w:rFonts w:hint="eastAsia" w:ascii="宋体" w:hAnsi="宋体"/>
          <w:sz w:val="24"/>
        </w:rPr>
        <w:t xml:space="preserve">      　</w:t>
      </w:r>
    </w:p>
    <w:p w14:paraId="7A0A704B">
      <w:pPr>
        <w:adjustRightInd w:val="0"/>
        <w:snapToGrid w:val="0"/>
        <w:spacing w:line="360" w:lineRule="auto"/>
        <w:rPr>
          <w:rFonts w:hint="eastAsia" w:ascii="宋体" w:hAnsi="宋体" w:cs="宋体"/>
          <w:kern w:val="0"/>
          <w:szCs w:val="21"/>
          <w:u w:val="single"/>
        </w:rPr>
      </w:pPr>
    </w:p>
    <w:p w14:paraId="5B41C7D9">
      <w:pPr>
        <w:adjustRightInd w:val="0"/>
        <w:snapToGrid w:val="0"/>
        <w:spacing w:line="360" w:lineRule="auto"/>
        <w:rPr>
          <w:rFonts w:hint="eastAsia" w:ascii="宋体" w:hAnsi="宋体" w:cs="宋体"/>
          <w:kern w:val="0"/>
          <w:szCs w:val="21"/>
        </w:rPr>
      </w:pPr>
    </w:p>
    <w:p w14:paraId="3E674913">
      <w:pPr>
        <w:adjustRightInd w:val="0"/>
        <w:snapToGrid w:val="0"/>
        <w:spacing w:line="360" w:lineRule="auto"/>
        <w:rPr>
          <w:rFonts w:hint="eastAsia" w:ascii="宋体" w:hAnsi="宋体" w:cs="宋体"/>
          <w:b/>
          <w:sz w:val="36"/>
          <w:szCs w:val="36"/>
        </w:rPr>
      </w:pPr>
    </w:p>
    <w:p w14:paraId="602383CB">
      <w:pPr>
        <w:adjustRightInd w:val="0"/>
        <w:snapToGrid w:val="0"/>
        <w:spacing w:line="360" w:lineRule="auto"/>
        <w:rPr>
          <w:rFonts w:hint="eastAsia" w:ascii="宋体" w:hAnsi="宋体" w:cs="宋体"/>
          <w:b/>
          <w:sz w:val="36"/>
          <w:szCs w:val="36"/>
        </w:rPr>
      </w:pPr>
    </w:p>
    <w:p w14:paraId="35CE98CC">
      <w:pPr>
        <w:adjustRightInd w:val="0"/>
        <w:snapToGrid w:val="0"/>
        <w:spacing w:line="360" w:lineRule="auto"/>
        <w:jc w:val="center"/>
        <w:rPr>
          <w:rFonts w:hint="eastAsia" w:ascii="宋体" w:hAnsi="宋体" w:eastAsia="宋体" w:cs="宋体"/>
          <w:b/>
          <w:kern w:val="0"/>
          <w:sz w:val="44"/>
          <w:szCs w:val="44"/>
          <w:lang w:eastAsia="zh-CN"/>
        </w:rPr>
      </w:pPr>
      <w:r>
        <w:rPr>
          <w:rFonts w:hint="eastAsia" w:ascii="宋体" w:hAnsi="宋体" w:cs="宋体"/>
          <w:b/>
          <w:kern w:val="0"/>
          <w:sz w:val="44"/>
          <w:szCs w:val="44"/>
        </w:rPr>
        <w:t>渝开发2024年年度市场监测咨询服务合作</w:t>
      </w:r>
      <w:r>
        <w:rPr>
          <w:rFonts w:ascii="宋体" w:hAnsi="宋体" w:cs="宋体"/>
          <w:b/>
          <w:kern w:val="0"/>
          <w:sz w:val="44"/>
          <w:szCs w:val="44"/>
        </w:rPr>
        <w:t>单位</w:t>
      </w:r>
      <w:r>
        <w:rPr>
          <w:rFonts w:hint="eastAsia" w:ascii="宋体" w:hAnsi="宋体" w:cs="宋体"/>
          <w:b/>
          <w:kern w:val="0"/>
          <w:sz w:val="44"/>
          <w:szCs w:val="44"/>
        </w:rPr>
        <w:t>竞争性比选文件</w:t>
      </w:r>
      <w:r>
        <w:rPr>
          <w:rFonts w:hint="eastAsia" w:ascii="宋体" w:hAnsi="宋体" w:cs="宋体"/>
          <w:b/>
          <w:kern w:val="0"/>
          <w:sz w:val="44"/>
          <w:szCs w:val="44"/>
          <w:lang w:eastAsia="zh-CN"/>
        </w:rPr>
        <w:t>（</w:t>
      </w:r>
      <w:r>
        <w:rPr>
          <w:rFonts w:hint="eastAsia" w:ascii="宋体" w:hAnsi="宋体" w:cs="宋体"/>
          <w:b/>
          <w:kern w:val="0"/>
          <w:sz w:val="44"/>
          <w:szCs w:val="44"/>
          <w:lang w:val="en-US" w:eastAsia="zh-CN"/>
        </w:rPr>
        <w:t>第二次</w:t>
      </w:r>
      <w:r>
        <w:rPr>
          <w:rFonts w:hint="eastAsia" w:ascii="宋体" w:hAnsi="宋体" w:cs="宋体"/>
          <w:b/>
          <w:kern w:val="0"/>
          <w:sz w:val="44"/>
          <w:szCs w:val="44"/>
          <w:lang w:eastAsia="zh-CN"/>
        </w:rPr>
        <w:t>）</w:t>
      </w:r>
    </w:p>
    <w:p w14:paraId="0EF1D530">
      <w:pPr>
        <w:adjustRightInd w:val="0"/>
        <w:snapToGrid w:val="0"/>
        <w:spacing w:line="360" w:lineRule="auto"/>
        <w:jc w:val="center"/>
        <w:rPr>
          <w:rFonts w:hint="eastAsia" w:ascii="宋体" w:hAnsi="宋体" w:cs="宋体"/>
          <w:b/>
          <w:sz w:val="32"/>
          <w:szCs w:val="32"/>
        </w:rPr>
      </w:pPr>
    </w:p>
    <w:p w14:paraId="0212D45A">
      <w:pPr>
        <w:adjustRightInd w:val="0"/>
        <w:snapToGrid w:val="0"/>
        <w:spacing w:line="360" w:lineRule="auto"/>
        <w:jc w:val="center"/>
        <w:rPr>
          <w:rFonts w:hint="eastAsia" w:ascii="宋体" w:hAnsi="宋体" w:cs="宋体"/>
          <w:sz w:val="32"/>
          <w:szCs w:val="32"/>
        </w:rPr>
      </w:pPr>
    </w:p>
    <w:p w14:paraId="321DA329">
      <w:pPr>
        <w:adjustRightInd w:val="0"/>
        <w:snapToGrid w:val="0"/>
        <w:spacing w:line="360" w:lineRule="auto"/>
        <w:jc w:val="center"/>
        <w:rPr>
          <w:rFonts w:hint="eastAsia" w:ascii="宋体" w:hAnsi="宋体" w:cs="宋体"/>
          <w:sz w:val="32"/>
          <w:szCs w:val="32"/>
        </w:rPr>
      </w:pPr>
    </w:p>
    <w:p w14:paraId="2B336DDD">
      <w:pPr>
        <w:adjustRightInd w:val="0"/>
        <w:snapToGrid w:val="0"/>
        <w:spacing w:line="360" w:lineRule="auto"/>
        <w:jc w:val="center"/>
        <w:rPr>
          <w:rFonts w:hint="eastAsia" w:ascii="宋体" w:hAnsi="宋体" w:cs="宋体"/>
          <w:sz w:val="32"/>
          <w:szCs w:val="32"/>
        </w:rPr>
      </w:pPr>
    </w:p>
    <w:p w14:paraId="2859AB9F">
      <w:pPr>
        <w:adjustRightInd w:val="0"/>
        <w:snapToGrid w:val="0"/>
        <w:spacing w:line="360" w:lineRule="auto"/>
        <w:jc w:val="center"/>
        <w:rPr>
          <w:rFonts w:hint="eastAsia" w:ascii="宋体" w:hAnsi="宋体" w:cs="宋体"/>
          <w:sz w:val="32"/>
          <w:szCs w:val="32"/>
        </w:rPr>
      </w:pPr>
    </w:p>
    <w:p w14:paraId="30E4A543">
      <w:pPr>
        <w:adjustRightInd w:val="0"/>
        <w:snapToGrid w:val="0"/>
        <w:spacing w:line="360" w:lineRule="auto"/>
        <w:ind w:right="82" w:rightChars="39"/>
        <w:rPr>
          <w:rFonts w:hint="eastAsia" w:ascii="宋体" w:hAnsi="宋体" w:cs="宋体"/>
          <w:sz w:val="32"/>
          <w:szCs w:val="32"/>
        </w:rPr>
      </w:pPr>
    </w:p>
    <w:p w14:paraId="17F4FF28">
      <w:pPr>
        <w:adjustRightInd w:val="0"/>
        <w:snapToGrid w:val="0"/>
        <w:spacing w:line="360" w:lineRule="auto"/>
        <w:ind w:right="82" w:rightChars="39"/>
        <w:rPr>
          <w:rFonts w:hint="eastAsia" w:ascii="宋体" w:hAnsi="宋体" w:cs="宋体"/>
          <w:sz w:val="32"/>
          <w:szCs w:val="32"/>
        </w:rPr>
      </w:pPr>
    </w:p>
    <w:p w14:paraId="7A8DAFF4">
      <w:pPr>
        <w:adjustRightInd w:val="0"/>
        <w:snapToGrid w:val="0"/>
        <w:spacing w:line="360" w:lineRule="auto"/>
        <w:ind w:right="82" w:rightChars="39"/>
        <w:rPr>
          <w:rFonts w:hint="eastAsia" w:ascii="宋体" w:hAnsi="宋体" w:cs="宋体"/>
          <w:sz w:val="32"/>
          <w:szCs w:val="32"/>
        </w:rPr>
      </w:pPr>
    </w:p>
    <w:p w14:paraId="1438F148">
      <w:pPr>
        <w:adjustRightInd w:val="0"/>
        <w:snapToGrid w:val="0"/>
        <w:spacing w:line="360" w:lineRule="auto"/>
        <w:ind w:right="82" w:rightChars="39"/>
        <w:rPr>
          <w:rFonts w:hint="eastAsia" w:ascii="宋体" w:hAnsi="宋体" w:cs="宋体"/>
          <w:sz w:val="32"/>
          <w:szCs w:val="32"/>
        </w:rPr>
      </w:pPr>
    </w:p>
    <w:p w14:paraId="786DF8E5">
      <w:pPr>
        <w:adjustRightInd w:val="0"/>
        <w:snapToGrid w:val="0"/>
        <w:spacing w:line="360" w:lineRule="auto"/>
        <w:rPr>
          <w:rFonts w:hint="eastAsia" w:ascii="宋体" w:hAnsi="宋体" w:cs="宋体"/>
          <w:sz w:val="32"/>
          <w:szCs w:val="32"/>
        </w:rPr>
      </w:pPr>
    </w:p>
    <w:p w14:paraId="05037609">
      <w:pPr>
        <w:adjustRightInd w:val="0"/>
        <w:snapToGrid w:val="0"/>
        <w:spacing w:line="360" w:lineRule="auto"/>
        <w:jc w:val="center"/>
        <w:rPr>
          <w:rFonts w:hint="eastAsia" w:ascii="宋体" w:hAnsi="宋体" w:cs="宋体"/>
          <w:sz w:val="32"/>
          <w:szCs w:val="32"/>
          <w:u w:val="single"/>
        </w:rPr>
      </w:pPr>
      <w:r>
        <w:rPr>
          <w:rFonts w:hint="eastAsia" w:ascii="宋体" w:hAnsi="宋体" w:cs="宋体"/>
          <w:sz w:val="32"/>
          <w:szCs w:val="32"/>
        </w:rPr>
        <w:t>比选人:</w:t>
      </w:r>
      <w:r>
        <w:rPr>
          <w:rFonts w:hint="eastAsia" w:ascii="宋体" w:hAnsi="宋体" w:cs="宋体"/>
          <w:sz w:val="32"/>
          <w:szCs w:val="32"/>
          <w:u w:val="single"/>
        </w:rPr>
        <w:t xml:space="preserve">重庆渝开发股份有限公司     </w:t>
      </w:r>
    </w:p>
    <w:p w14:paraId="6C625CD2">
      <w:pPr>
        <w:adjustRightInd w:val="0"/>
        <w:snapToGrid w:val="0"/>
        <w:spacing w:line="360" w:lineRule="auto"/>
        <w:rPr>
          <w:rFonts w:hint="eastAsia" w:ascii="宋体" w:hAnsi="宋体" w:cs="宋体"/>
          <w:sz w:val="32"/>
          <w:szCs w:val="32"/>
          <w:u w:val="single"/>
        </w:rPr>
      </w:pPr>
      <w:r>
        <w:rPr>
          <w:rFonts w:hint="eastAsia" w:ascii="宋体" w:hAnsi="宋体" w:cs="宋体"/>
          <w:sz w:val="32"/>
          <w:szCs w:val="32"/>
        </w:rPr>
        <w:t xml:space="preserve">               时  间:</w:t>
      </w:r>
      <w:r>
        <w:rPr>
          <w:rFonts w:hint="eastAsia" w:ascii="宋体" w:hAnsi="宋体" w:cs="宋体"/>
          <w:sz w:val="32"/>
          <w:szCs w:val="32"/>
          <w:u w:val="single"/>
        </w:rPr>
        <w:t xml:space="preserve">  2024年  9 月  2</w:t>
      </w:r>
      <w:r>
        <w:rPr>
          <w:rFonts w:hint="eastAsia" w:ascii="宋体" w:hAnsi="宋体" w:cs="宋体"/>
          <w:sz w:val="32"/>
          <w:szCs w:val="32"/>
          <w:u w:val="single"/>
          <w:lang w:val="en-US" w:eastAsia="zh-CN"/>
        </w:rPr>
        <w:t>9</w:t>
      </w:r>
      <w:r>
        <w:rPr>
          <w:rFonts w:hint="eastAsia" w:ascii="宋体" w:hAnsi="宋体" w:cs="宋体"/>
          <w:sz w:val="32"/>
          <w:szCs w:val="32"/>
          <w:u w:val="single"/>
        </w:rPr>
        <w:t xml:space="preserve"> 日     </w:t>
      </w:r>
    </w:p>
    <w:p w14:paraId="6F6F1C3F">
      <w:pPr>
        <w:adjustRightInd w:val="0"/>
        <w:snapToGrid w:val="0"/>
        <w:spacing w:line="360" w:lineRule="auto"/>
        <w:ind w:firstLine="2560" w:firstLineChars="800"/>
        <w:rPr>
          <w:rFonts w:hint="eastAsia" w:ascii="宋体" w:hAnsi="宋体" w:cs="宋体"/>
          <w:sz w:val="32"/>
          <w:szCs w:val="32"/>
          <w:u w:val="single"/>
        </w:rPr>
      </w:pPr>
    </w:p>
    <w:p w14:paraId="0655A48C">
      <w:pPr>
        <w:adjustRightInd w:val="0"/>
        <w:snapToGrid w:val="0"/>
        <w:spacing w:line="360" w:lineRule="auto"/>
        <w:rPr>
          <w:rFonts w:hint="eastAsia" w:ascii="宋体" w:hAnsi="宋体" w:cs="宋体"/>
          <w:sz w:val="32"/>
          <w:szCs w:val="32"/>
          <w:u w:val="single"/>
        </w:rPr>
      </w:pPr>
    </w:p>
    <w:p w14:paraId="4F26A4E3">
      <w:pPr>
        <w:adjustRightInd w:val="0"/>
        <w:snapToGrid w:val="0"/>
        <w:spacing w:line="360" w:lineRule="auto"/>
        <w:rPr>
          <w:rFonts w:hint="eastAsia" w:ascii="宋体" w:hAnsi="宋体" w:cs="宋体"/>
          <w:sz w:val="32"/>
          <w:szCs w:val="32"/>
          <w:u w:val="single"/>
        </w:rPr>
      </w:pPr>
    </w:p>
    <w:p w14:paraId="1A44D282">
      <w:pPr>
        <w:adjustRightInd w:val="0"/>
        <w:snapToGrid w:val="0"/>
        <w:spacing w:line="360" w:lineRule="auto"/>
        <w:jc w:val="center"/>
        <w:rPr>
          <w:rFonts w:hint="eastAsia" w:ascii="宋体" w:hAnsi="宋体" w:cs="宋体"/>
          <w:b/>
          <w:sz w:val="44"/>
          <w:szCs w:val="44"/>
        </w:rPr>
      </w:pPr>
      <w:r>
        <w:rPr>
          <w:rFonts w:hint="eastAsia" w:ascii="宋体" w:hAnsi="宋体" w:cs="宋体"/>
          <w:b/>
          <w:sz w:val="44"/>
          <w:szCs w:val="44"/>
        </w:rPr>
        <w:t xml:space="preserve"> 比 选 公 告</w:t>
      </w:r>
    </w:p>
    <w:p w14:paraId="6A662851">
      <w:pPr>
        <w:adjustRightInd w:val="0"/>
        <w:snapToGrid w:val="0"/>
        <w:spacing w:line="360" w:lineRule="auto"/>
        <w:ind w:firstLine="560" w:firstLineChars="200"/>
        <w:rPr>
          <w:rFonts w:hint="eastAsia" w:ascii="宋体" w:hAnsi="宋体" w:cs="宋体"/>
          <w:kern w:val="0"/>
          <w:sz w:val="28"/>
          <w:szCs w:val="28"/>
        </w:rPr>
      </w:pPr>
      <w:r>
        <w:rPr>
          <w:rFonts w:hint="eastAsia" w:ascii="宋体" w:hAnsi="宋体" w:cs="宋体"/>
          <w:bCs/>
          <w:sz w:val="28"/>
          <w:szCs w:val="28"/>
        </w:rPr>
        <w:t>根据比选人相关规定，计划采用竞争性比选方式确定渝开发</w:t>
      </w:r>
      <w:r>
        <w:rPr>
          <w:rFonts w:hint="eastAsia" w:ascii="宋体" w:hAnsi="宋体" w:cs="宋体"/>
          <w:sz w:val="28"/>
          <w:szCs w:val="28"/>
        </w:rPr>
        <w:t>2024年年度市场监测咨询服务合作</w:t>
      </w:r>
      <w:r>
        <w:rPr>
          <w:rFonts w:ascii="宋体" w:hAnsi="宋体" w:cs="宋体"/>
          <w:sz w:val="28"/>
          <w:szCs w:val="28"/>
        </w:rPr>
        <w:t>单位</w:t>
      </w:r>
      <w:r>
        <w:rPr>
          <w:rFonts w:hint="eastAsia" w:ascii="宋体" w:hAnsi="宋体" w:cs="宋体"/>
          <w:kern w:val="0"/>
          <w:sz w:val="28"/>
          <w:szCs w:val="28"/>
        </w:rPr>
        <w:t>。</w:t>
      </w:r>
      <w:r>
        <w:rPr>
          <w:rFonts w:hint="eastAsia" w:ascii="宋体" w:hAnsi="宋体" w:cs="宋体"/>
          <w:bCs/>
          <w:sz w:val="28"/>
          <w:szCs w:val="28"/>
        </w:rPr>
        <w:t>现公告如下：</w:t>
      </w:r>
    </w:p>
    <w:p w14:paraId="647D3C93">
      <w:pPr>
        <w:numPr>
          <w:ilvl w:val="0"/>
          <w:numId w:val="2"/>
        </w:numPr>
        <w:adjustRightInd w:val="0"/>
        <w:snapToGrid w:val="0"/>
        <w:spacing w:line="360" w:lineRule="auto"/>
        <w:rPr>
          <w:rFonts w:hint="eastAsia" w:ascii="宋体" w:hAnsi="宋体" w:cs="宋体"/>
          <w:b/>
          <w:sz w:val="28"/>
          <w:szCs w:val="28"/>
        </w:rPr>
      </w:pPr>
      <w:r>
        <w:rPr>
          <w:rFonts w:hint="eastAsia" w:ascii="宋体" w:hAnsi="宋体" w:cs="宋体"/>
          <w:b/>
          <w:sz w:val="28"/>
          <w:szCs w:val="28"/>
        </w:rPr>
        <w:t>比选范围与项目概况</w:t>
      </w:r>
    </w:p>
    <w:p w14:paraId="437B0AFB">
      <w:pPr>
        <w:pStyle w:val="18"/>
        <w:tabs>
          <w:tab w:val="left" w:pos="420"/>
          <w:tab w:val="left" w:pos="630"/>
        </w:tabs>
        <w:spacing w:line="360" w:lineRule="auto"/>
        <w:ind w:firstLine="0"/>
        <w:rPr>
          <w:rFonts w:hint="eastAsia" w:ascii="宋体" w:hAnsi="宋体"/>
          <w:sz w:val="28"/>
          <w:szCs w:val="28"/>
        </w:rPr>
      </w:pPr>
      <w:r>
        <w:rPr>
          <w:rFonts w:hint="eastAsia" w:ascii="宋体" w:hAnsi="宋体" w:cs="Times New Roman"/>
          <w:bCs/>
          <w:kern w:val="2"/>
          <w:sz w:val="28"/>
          <w:szCs w:val="28"/>
        </w:rPr>
        <w:t xml:space="preserve"> （一）比选范围：</w:t>
      </w:r>
      <w:r>
        <w:rPr>
          <w:rFonts w:hint="eastAsia" w:ascii="宋体" w:hAnsi="宋体"/>
          <w:bCs/>
          <w:sz w:val="28"/>
          <w:szCs w:val="28"/>
        </w:rPr>
        <w:t>渝开发</w:t>
      </w:r>
      <w:r>
        <w:rPr>
          <w:rFonts w:hint="eastAsia" w:ascii="宋体" w:hAnsi="宋体"/>
          <w:sz w:val="28"/>
          <w:szCs w:val="28"/>
        </w:rPr>
        <w:t>2024年年度市场监测咨询服务</w:t>
      </w:r>
    </w:p>
    <w:p w14:paraId="6816A051">
      <w:pPr>
        <w:pStyle w:val="18"/>
        <w:spacing w:line="360" w:lineRule="auto"/>
        <w:ind w:firstLine="0"/>
        <w:rPr>
          <w:rFonts w:hint="eastAsia" w:ascii="宋体" w:hAnsi="宋体" w:cs="Times New Roman"/>
          <w:bCs/>
          <w:kern w:val="2"/>
          <w:sz w:val="28"/>
          <w:szCs w:val="28"/>
        </w:rPr>
      </w:pPr>
      <w:r>
        <w:rPr>
          <w:rFonts w:hint="eastAsia" w:ascii="宋体" w:hAnsi="宋体" w:cs="Times New Roman"/>
          <w:bCs/>
          <w:kern w:val="2"/>
          <w:sz w:val="28"/>
          <w:szCs w:val="28"/>
        </w:rPr>
        <w:t xml:space="preserve"> （二）合作时间：签订合同之日起一年，具体起始时间以双方签定合同之日起计算。</w:t>
      </w:r>
      <w:r>
        <w:rPr>
          <w:rFonts w:hint="eastAsia" w:ascii="宋体" w:hAnsi="宋体"/>
          <w:bCs/>
          <w:kern w:val="2"/>
          <w:sz w:val="28"/>
          <w:szCs w:val="28"/>
        </w:rPr>
        <w:t xml:space="preserve">在合同签定期限内，若服务内容未达到比选人要求，比选人可单方面终止合同。  </w:t>
      </w:r>
    </w:p>
    <w:p w14:paraId="6D3D46DF">
      <w:pPr>
        <w:pStyle w:val="18"/>
        <w:tabs>
          <w:tab w:val="left" w:pos="420"/>
        </w:tabs>
        <w:adjustRightInd w:val="0"/>
        <w:snapToGrid w:val="0"/>
        <w:spacing w:line="360" w:lineRule="auto"/>
        <w:ind w:firstLine="0"/>
        <w:jc w:val="left"/>
        <w:rPr>
          <w:rFonts w:hint="eastAsia" w:ascii="宋体" w:hAnsi="宋体"/>
          <w:bCs/>
          <w:kern w:val="2"/>
          <w:sz w:val="28"/>
          <w:szCs w:val="28"/>
        </w:rPr>
      </w:pPr>
      <w:r>
        <w:rPr>
          <w:rFonts w:hint="eastAsia" w:ascii="宋体" w:hAnsi="宋体"/>
          <w:bCs/>
          <w:kern w:val="2"/>
          <w:sz w:val="28"/>
          <w:szCs w:val="28"/>
        </w:rPr>
        <w:t xml:space="preserve"> （三）合作内容：</w:t>
      </w:r>
    </w:p>
    <w:p w14:paraId="5218CC1B">
      <w:pPr>
        <w:spacing w:line="360" w:lineRule="auto"/>
        <w:rPr>
          <w:rFonts w:hint="eastAsia" w:ascii="宋体" w:hAnsi="宋体" w:cs="宋体"/>
          <w:sz w:val="28"/>
          <w:szCs w:val="28"/>
        </w:rPr>
      </w:pPr>
      <w:r>
        <w:rPr>
          <w:rFonts w:hint="eastAsia" w:ascii="方正仿宋_GBK" w:hAnsi="方正仿宋_GBK" w:cs="方正仿宋_GBK"/>
          <w:sz w:val="32"/>
          <w:szCs w:val="32"/>
        </w:rPr>
        <w:t xml:space="preserve">  </w:t>
      </w:r>
      <w:r>
        <w:rPr>
          <w:rFonts w:hint="eastAsia" w:ascii="宋体" w:hAnsi="宋体" w:cs="宋体"/>
          <w:sz w:val="28"/>
          <w:szCs w:val="28"/>
        </w:rPr>
        <w:t xml:space="preserve">  1、重庆市主城区常规市场服务，包括：土地市场、商品房市场、比选人在售（待售）项目基本服务（包括但不限于贯金和府、南樾天宸、山与城、星河博棠等）的市场跟踪。</w:t>
      </w:r>
    </w:p>
    <w:p w14:paraId="79E84CE2">
      <w:pPr>
        <w:spacing w:line="360" w:lineRule="auto"/>
        <w:rPr>
          <w:rFonts w:hint="eastAsia" w:ascii="宋体" w:hAnsi="宋体" w:cs="宋体"/>
          <w:sz w:val="28"/>
          <w:szCs w:val="28"/>
        </w:rPr>
      </w:pPr>
      <w:r>
        <w:rPr>
          <w:rFonts w:hint="eastAsia" w:ascii="宋体" w:hAnsi="宋体" w:cs="宋体"/>
          <w:kern w:val="0"/>
          <w:sz w:val="28"/>
          <w:szCs w:val="28"/>
        </w:rPr>
        <w:t xml:space="preserve">    2、</w:t>
      </w:r>
      <w:r>
        <w:rPr>
          <w:rFonts w:hint="eastAsia" w:ascii="宋体" w:hAnsi="宋体" w:cs="宋体"/>
          <w:sz w:val="28"/>
          <w:szCs w:val="28"/>
        </w:rPr>
        <w:t>重庆市主城区二手房市场数据查询、车位市场数据查询；</w:t>
      </w:r>
    </w:p>
    <w:p w14:paraId="05A4CCB8">
      <w:pPr>
        <w:spacing w:line="360" w:lineRule="auto"/>
        <w:ind w:firstLine="560"/>
        <w:rPr>
          <w:rFonts w:hint="eastAsia" w:ascii="宋体" w:hAnsi="宋体" w:cs="宋体"/>
          <w:sz w:val="28"/>
          <w:szCs w:val="28"/>
        </w:rPr>
      </w:pPr>
      <w:r>
        <w:rPr>
          <w:rFonts w:hint="eastAsia" w:ascii="宋体" w:hAnsi="宋体" w:cs="宋体"/>
          <w:sz w:val="28"/>
          <w:szCs w:val="28"/>
        </w:rPr>
        <w:t>3、重庆市范围内房地产数据及经济指标数据查询（不包括专题报告，若需要提供城市进驻或专项市场报告，双方可另行商议）；</w:t>
      </w:r>
    </w:p>
    <w:p w14:paraId="1F0FC55A">
      <w:pPr>
        <w:spacing w:line="360" w:lineRule="auto"/>
        <w:ind w:firstLine="565" w:firstLineChars="202"/>
        <w:rPr>
          <w:rFonts w:hint="eastAsia" w:ascii="宋体" w:hAnsi="宋体" w:cs="宋体"/>
          <w:sz w:val="28"/>
          <w:szCs w:val="28"/>
        </w:rPr>
      </w:pPr>
      <w:r>
        <w:rPr>
          <w:rFonts w:hint="eastAsia" w:ascii="宋体" w:hAnsi="宋体" w:cs="宋体"/>
          <w:sz w:val="28"/>
          <w:szCs w:val="28"/>
        </w:rPr>
        <w:t>4、数据查询维度包含：区域、项目、组团、价格、面积、业态、房型等</w:t>
      </w:r>
    </w:p>
    <w:p w14:paraId="56408B9F">
      <w:pPr>
        <w:spacing w:line="360" w:lineRule="auto"/>
      </w:pPr>
      <w:r>
        <w:rPr>
          <w:rFonts w:hint="eastAsia" w:ascii="宋体" w:hAnsi="宋体" w:cs="宋体"/>
          <w:sz w:val="28"/>
          <w:szCs w:val="28"/>
        </w:rPr>
        <w:t xml:space="preserve">    5、根据比选人需求，提供重庆市主城区以外区域（含重庆区县及市外城市）满足可行性分析需求的土地、商品房市场数据咨询服务；针对比选人进入可研阶段的项目，提供满足比选人土地获取类项目可研报告模板深度要求的市场分析部分内容；数据类服务，应包含土地、商品房市场的各业态历年数据，历史变化趋势及未来一定时限内的变动预测；土地集中供地信息方面，应在正式公告前提供年度及每批次土地集中供地信息。</w:t>
      </w:r>
    </w:p>
    <w:p w14:paraId="7B1B75DD">
      <w:pPr>
        <w:spacing w:line="360" w:lineRule="auto"/>
        <w:rPr>
          <w:rFonts w:hint="eastAsia" w:ascii="宋体" w:hAnsi="宋体" w:cs="宋体"/>
          <w:kern w:val="0"/>
          <w:sz w:val="28"/>
          <w:szCs w:val="28"/>
        </w:rPr>
      </w:pPr>
      <w:r>
        <w:rPr>
          <w:rFonts w:hint="eastAsia" w:ascii="宋体" w:hAnsi="宋体" w:cs="宋体"/>
          <w:sz w:val="28"/>
          <w:szCs w:val="28"/>
        </w:rPr>
        <w:t xml:space="preserve">    6、</w:t>
      </w:r>
      <w:r>
        <w:rPr>
          <w:rFonts w:hint="eastAsia" w:ascii="宋体" w:hAnsi="宋体" w:cs="宋体"/>
          <w:kern w:val="0"/>
          <w:sz w:val="28"/>
          <w:szCs w:val="28"/>
        </w:rPr>
        <w:t>成果要求</w:t>
      </w:r>
    </w:p>
    <w:p w14:paraId="3C1E02BB">
      <w:pPr>
        <w:spacing w:line="360" w:lineRule="auto"/>
        <w:rPr>
          <w:rFonts w:hint="eastAsia" w:ascii="宋体" w:hAnsi="宋体" w:cs="宋体"/>
          <w:sz w:val="28"/>
          <w:szCs w:val="28"/>
        </w:rPr>
      </w:pPr>
      <w:r>
        <w:rPr>
          <w:rFonts w:hint="eastAsia" w:ascii="宋体" w:hAnsi="宋体" w:cs="宋体"/>
          <w:sz w:val="28"/>
          <w:szCs w:val="28"/>
        </w:rPr>
        <w:t xml:space="preserve">   按期提交周报告、月报、季度报、半年报和年报报告（以PPT格式及邮箱方式提交）；</w:t>
      </w:r>
    </w:p>
    <w:p w14:paraId="6F5D9348">
      <w:pPr>
        <w:spacing w:line="360" w:lineRule="auto"/>
        <w:rPr>
          <w:rFonts w:hint="eastAsia" w:ascii="方正仿宋_GBK" w:hAnsi="方正仿宋_GBK" w:eastAsia="方正仿宋_GBK" w:cs="方正仿宋_GBK"/>
          <w:b/>
          <w:bCs/>
          <w:sz w:val="28"/>
          <w:szCs w:val="28"/>
        </w:rPr>
      </w:pPr>
      <w:r>
        <w:rPr>
          <w:rFonts w:hint="eastAsia" w:ascii="宋体" w:hAnsi="宋体" w:cs="宋体"/>
          <w:sz w:val="28"/>
          <w:szCs w:val="28"/>
        </w:rPr>
        <w:t xml:space="preserve">    7、增值服务</w:t>
      </w:r>
    </w:p>
    <w:p w14:paraId="77E79044">
      <w:pPr>
        <w:spacing w:line="360" w:lineRule="auto"/>
        <w:rPr>
          <w:rFonts w:hint="eastAsia" w:ascii="宋体" w:hAnsi="宋体" w:cs="宋体"/>
          <w:sz w:val="28"/>
          <w:szCs w:val="28"/>
        </w:rPr>
      </w:pPr>
      <w:r>
        <w:rPr>
          <w:rFonts w:hint="eastAsia" w:ascii="宋体" w:hAnsi="宋体" w:cs="宋体"/>
          <w:sz w:val="28"/>
          <w:szCs w:val="28"/>
        </w:rPr>
        <w:t xml:space="preserve">    7.1合作期间提供数据库账号5个，方便比选人登陆系统自行查询数据。</w:t>
      </w:r>
    </w:p>
    <w:p w14:paraId="2E08297A">
      <w:pPr>
        <w:pStyle w:val="11"/>
        <w:spacing w:line="360" w:lineRule="auto"/>
        <w:rPr>
          <w:rFonts w:hint="eastAsia" w:ascii="宋体" w:hAnsi="宋体" w:cs="宋体"/>
          <w:sz w:val="28"/>
          <w:szCs w:val="28"/>
        </w:rPr>
      </w:pPr>
      <w:r>
        <w:rPr>
          <w:rFonts w:hint="eastAsia" w:ascii="宋体" w:hAnsi="宋体" w:cs="宋体"/>
          <w:b w:val="0"/>
          <w:bCs w:val="0"/>
          <w:sz w:val="28"/>
          <w:szCs w:val="28"/>
        </w:rPr>
        <w:t xml:space="preserve">    7.2合作期间提供专属管家一对一式服务，</w:t>
      </w:r>
      <w:r>
        <w:rPr>
          <w:rFonts w:hint="eastAsia" w:ascii="宋体" w:hAnsi="宋体" w:cs="宋体"/>
          <w:b w:val="0"/>
          <w:kern w:val="0"/>
          <w:sz w:val="28"/>
          <w:szCs w:val="28"/>
          <w:lang w:bidi="ar"/>
        </w:rPr>
        <w:t>根据实际工作需求，由比选人向中选人的管家团队提出数据服务内容。</w:t>
      </w:r>
    </w:p>
    <w:p w14:paraId="228DC7D7">
      <w:pPr>
        <w:spacing w:line="360" w:lineRule="auto"/>
        <w:ind w:firstLine="560"/>
        <w:rPr>
          <w:rFonts w:hint="eastAsia" w:ascii="宋体" w:hAnsi="宋体" w:cs="宋体"/>
          <w:sz w:val="28"/>
          <w:szCs w:val="28"/>
        </w:rPr>
      </w:pPr>
      <w:r>
        <w:rPr>
          <w:rFonts w:hint="eastAsia" w:ascii="宋体" w:hAnsi="宋体" w:cs="宋体"/>
          <w:sz w:val="28"/>
          <w:szCs w:val="28"/>
        </w:rPr>
        <w:t>7.3按月度、季度、半年、年度分别为比选人专属定制重庆房地产市场动态报告,每期9本。</w:t>
      </w:r>
    </w:p>
    <w:p w14:paraId="11B13325">
      <w:pPr>
        <w:spacing w:line="360" w:lineRule="auto"/>
        <w:ind w:firstLine="560"/>
        <w:rPr>
          <w:rFonts w:hint="eastAsia" w:ascii="宋体" w:hAnsi="宋体" w:cs="宋体"/>
          <w:sz w:val="28"/>
          <w:szCs w:val="28"/>
        </w:rPr>
      </w:pPr>
      <w:r>
        <w:rPr>
          <w:rFonts w:hint="eastAsia" w:ascii="宋体" w:hAnsi="宋体" w:cs="宋体"/>
          <w:sz w:val="28"/>
          <w:szCs w:val="28"/>
        </w:rPr>
        <w:t>8、按照甲方的需求，在甲方需要对比选人提供的资料进行盖章时，比选人需要在24小时内对甲方需求的资料进行盖章。</w:t>
      </w:r>
    </w:p>
    <w:p w14:paraId="1FF29C82">
      <w:pPr>
        <w:pStyle w:val="18"/>
        <w:spacing w:line="360" w:lineRule="auto"/>
        <w:ind w:firstLine="560"/>
        <w:rPr>
          <w:rFonts w:hint="eastAsia" w:ascii="宋体" w:hAnsi="宋体"/>
          <w:sz w:val="28"/>
          <w:szCs w:val="28"/>
        </w:rPr>
      </w:pPr>
      <w:r>
        <w:rPr>
          <w:rFonts w:hint="eastAsia" w:ascii="宋体" w:hAnsi="宋体"/>
          <w:sz w:val="28"/>
          <w:szCs w:val="28"/>
        </w:rPr>
        <w:t>具体详见附件《</w:t>
      </w:r>
      <w:r>
        <w:rPr>
          <w:rFonts w:hint="eastAsia" w:ascii="宋体" w:hAnsi="宋体"/>
          <w:bCs/>
          <w:sz w:val="28"/>
          <w:szCs w:val="28"/>
        </w:rPr>
        <w:t>渝开发</w:t>
      </w:r>
      <w:r>
        <w:rPr>
          <w:rFonts w:hint="eastAsia" w:ascii="宋体" w:hAnsi="宋体"/>
          <w:sz w:val="28"/>
          <w:szCs w:val="28"/>
        </w:rPr>
        <w:t>2024年年度市场监测咨询服务工作内容》。</w:t>
      </w:r>
    </w:p>
    <w:p w14:paraId="02C1C2A3">
      <w:pPr>
        <w:pStyle w:val="18"/>
        <w:adjustRightInd w:val="0"/>
        <w:snapToGrid w:val="0"/>
        <w:spacing w:line="360" w:lineRule="auto"/>
        <w:ind w:firstLine="0"/>
        <w:jc w:val="left"/>
        <w:rPr>
          <w:rFonts w:hint="eastAsia" w:ascii="宋体" w:hAnsi="宋体"/>
          <w:b/>
          <w:sz w:val="28"/>
          <w:szCs w:val="28"/>
        </w:rPr>
      </w:pPr>
      <w:r>
        <w:rPr>
          <w:rFonts w:hint="eastAsia" w:ascii="宋体" w:hAnsi="宋体"/>
          <w:b/>
          <w:sz w:val="28"/>
          <w:szCs w:val="28"/>
        </w:rPr>
        <w:t>二、参选人资格要求</w:t>
      </w:r>
      <w:r>
        <w:rPr>
          <w:rFonts w:hint="eastAsia" w:ascii="宋体" w:hAnsi="宋体"/>
          <w:b/>
          <w:sz w:val="28"/>
          <w:szCs w:val="28"/>
        </w:rPr>
        <w:tab/>
      </w:r>
    </w:p>
    <w:p w14:paraId="6E6160B0">
      <w:pPr>
        <w:pStyle w:val="10"/>
        <w:widowControl/>
        <w:tabs>
          <w:tab w:val="left" w:pos="0"/>
        </w:tabs>
        <w:adjustRightInd w:val="0"/>
        <w:snapToGrid w:val="0"/>
        <w:spacing w:line="360" w:lineRule="auto"/>
        <w:ind w:firstLine="560" w:firstLineChars="200"/>
        <w:jc w:val="left"/>
        <w:rPr>
          <w:rFonts w:hint="eastAsia" w:ascii="宋体" w:hAnsi="宋体" w:cs="宋体"/>
          <w:kern w:val="0"/>
          <w:sz w:val="28"/>
          <w:szCs w:val="28"/>
          <w:lang w:bidi="ar"/>
        </w:rPr>
      </w:pPr>
      <w:bookmarkStart w:id="0" w:name="_Toc144974483"/>
      <w:bookmarkStart w:id="1" w:name="_Toc152045515"/>
      <w:bookmarkStart w:id="2" w:name="_Toc246996161"/>
      <w:bookmarkStart w:id="3" w:name="_Toc247085675"/>
      <w:bookmarkStart w:id="4" w:name="_Toc152042291"/>
      <w:bookmarkStart w:id="5" w:name="_Toc179632531"/>
      <w:bookmarkStart w:id="6" w:name="_Toc246996904"/>
      <w:bookmarkStart w:id="7" w:name="_Toc296602405"/>
      <w:r>
        <w:rPr>
          <w:rFonts w:hint="eastAsia" w:ascii="宋体" w:hAnsi="宋体"/>
          <w:sz w:val="28"/>
          <w:szCs w:val="28"/>
        </w:rPr>
        <w:t>（一）经营资格：须具备独立法人资格；</w:t>
      </w:r>
      <w:r>
        <w:rPr>
          <w:rFonts w:hint="eastAsia" w:ascii="宋体" w:hAnsi="宋体"/>
          <w:color w:val="000000"/>
          <w:sz w:val="28"/>
          <w:szCs w:val="28"/>
        </w:rPr>
        <w:t>注册地址为重庆市范围内,</w:t>
      </w:r>
      <w:r>
        <w:rPr>
          <w:rFonts w:hint="eastAsia" w:ascii="宋体" w:hAnsi="宋体"/>
          <w:sz w:val="28"/>
          <w:szCs w:val="28"/>
        </w:rPr>
        <w:t>成立时间不少于三年；</w:t>
      </w:r>
      <w:r>
        <w:rPr>
          <w:rFonts w:hint="eastAsia" w:ascii="宋体" w:hAnsi="宋体" w:cs="宋体"/>
          <w:kern w:val="0"/>
          <w:sz w:val="28"/>
          <w:szCs w:val="28"/>
          <w:lang w:bidi="ar"/>
        </w:rPr>
        <w:t>且《营业执照》经营范围须具备如“大数据处理分析、服务”、“互联网数据服务”、“市场调研”、“房地产营销策划”、“房地产咨询”、“企业管理咨询”、“商务信息咨询”、“计算机信息技术的技术开发、技术转让、技术服务”等相关条件之一的经营许可。参选人须提供有效营业执照复印件并加盖鲜章。</w:t>
      </w:r>
    </w:p>
    <w:p w14:paraId="55D1F852">
      <w:pPr>
        <w:pStyle w:val="10"/>
        <w:widowControl/>
        <w:adjustRightInd w:val="0"/>
        <w:snapToGrid w:val="0"/>
        <w:spacing w:line="360" w:lineRule="auto"/>
        <w:jc w:val="left"/>
        <w:rPr>
          <w:rFonts w:hint="eastAsia" w:ascii="宋体" w:hAnsi="宋体"/>
          <w:sz w:val="28"/>
          <w:szCs w:val="28"/>
        </w:rPr>
      </w:pPr>
      <w:r>
        <w:rPr>
          <w:rFonts w:hint="eastAsia" w:ascii="宋体" w:hAnsi="宋体"/>
          <w:sz w:val="28"/>
          <w:szCs w:val="28"/>
        </w:rPr>
        <w:t xml:space="preserve"> </w:t>
      </w:r>
      <w:r>
        <w:rPr>
          <w:rFonts w:hint="eastAsia" w:ascii="宋体" w:hAnsi="宋体" w:cs="宋体"/>
          <w:sz w:val="28"/>
          <w:szCs w:val="28"/>
          <w:lang w:bidi="ar"/>
        </w:rPr>
        <w:t xml:space="preserve">  （二）</w:t>
      </w:r>
      <w:r>
        <w:rPr>
          <w:rFonts w:hint="eastAsia" w:ascii="宋体" w:hAnsi="宋体"/>
          <w:sz w:val="28"/>
          <w:szCs w:val="28"/>
        </w:rPr>
        <w:t>参选人须提交在重庆主城区（江北区、渝北区、两江新区、北碚区、渝中区、九龙坡区、沙坪坝区、大渡口区、南岸区、巴南区）</w:t>
      </w:r>
      <w:r>
        <w:rPr>
          <w:rFonts w:hint="eastAsia" w:ascii="宋体" w:hAnsi="宋体"/>
          <w:bCs/>
          <w:sz w:val="28"/>
          <w:szCs w:val="28"/>
        </w:rPr>
        <w:t>2021年至今已完成或正在履行</w:t>
      </w:r>
      <w:r>
        <w:rPr>
          <w:rFonts w:hint="eastAsia" w:ascii="宋体" w:hAnsi="宋体"/>
          <w:sz w:val="28"/>
          <w:szCs w:val="28"/>
        </w:rPr>
        <w:t>不少于3个（包含3个）的房地产行业数据</w:t>
      </w:r>
      <w:r>
        <w:rPr>
          <w:rFonts w:hint="eastAsia" w:ascii="宋体" w:hAnsi="宋体"/>
          <w:bCs/>
          <w:sz w:val="28"/>
          <w:szCs w:val="28"/>
        </w:rPr>
        <w:t>咨询类服务合同且合同服务期限在一年或一年以上</w:t>
      </w:r>
      <w:r>
        <w:rPr>
          <w:rFonts w:hint="eastAsia" w:ascii="宋体" w:hAnsi="宋体"/>
          <w:sz w:val="28"/>
          <w:szCs w:val="28"/>
        </w:rPr>
        <w:t>，</w:t>
      </w:r>
      <w:r>
        <w:rPr>
          <w:rFonts w:hint="eastAsia" w:ascii="宋体" w:hAnsi="宋体"/>
          <w:bCs/>
          <w:sz w:val="28"/>
          <w:szCs w:val="28"/>
        </w:rPr>
        <w:t>合同须包含</w:t>
      </w:r>
      <w:r>
        <w:rPr>
          <w:rFonts w:hint="eastAsia" w:ascii="宋体" w:hAnsi="宋体" w:cs="宋体"/>
          <w:kern w:val="0"/>
          <w:sz w:val="28"/>
          <w:szCs w:val="28"/>
          <w:lang w:bidi="ar"/>
        </w:rPr>
        <w:t>“大数据服务、市场调研、企业管理咨询”等相关条件之一的服务内容</w:t>
      </w:r>
      <w:r>
        <w:rPr>
          <w:rFonts w:hint="eastAsia" w:ascii="宋体" w:hAnsi="宋体"/>
          <w:sz w:val="28"/>
          <w:szCs w:val="28"/>
        </w:rPr>
        <w:t>（需提供合同复印件，并加盖鲜章，合同原件及对应合同发票、银行对帐单一并在评审过程中查验，查验完成后退还给参选人）。</w:t>
      </w:r>
    </w:p>
    <w:p w14:paraId="0C210F57">
      <w:pPr>
        <w:widowControl/>
        <w:spacing w:line="360" w:lineRule="auto"/>
        <w:jc w:val="left"/>
      </w:pPr>
    </w:p>
    <w:p w14:paraId="038C4861">
      <w:pPr>
        <w:spacing w:line="360" w:lineRule="auto"/>
        <w:rPr>
          <w:rFonts w:hint="eastAsia" w:ascii="宋体" w:hAnsi="宋体"/>
          <w:bCs/>
          <w:sz w:val="28"/>
          <w:szCs w:val="28"/>
        </w:rPr>
      </w:pPr>
      <w:r>
        <w:rPr>
          <w:rFonts w:hint="eastAsia" w:ascii="宋体" w:hAnsi="宋体"/>
          <w:b/>
          <w:sz w:val="28"/>
          <w:szCs w:val="28"/>
        </w:rPr>
        <w:t>三、参选保证金　</w:t>
      </w:r>
    </w:p>
    <w:p w14:paraId="427E63EB">
      <w:pPr>
        <w:tabs>
          <w:tab w:val="left" w:pos="3000"/>
        </w:tabs>
        <w:spacing w:line="360" w:lineRule="auto"/>
        <w:ind w:firstLine="560" w:firstLineChars="200"/>
        <w:rPr>
          <w:rFonts w:hint="eastAsia" w:ascii="宋体" w:hAnsi="宋体" w:cs="宋体"/>
          <w:bCs/>
          <w:sz w:val="28"/>
          <w:szCs w:val="28"/>
        </w:rPr>
      </w:pPr>
      <w:r>
        <w:rPr>
          <w:rFonts w:hint="eastAsia" w:ascii="宋体" w:hAnsi="宋体" w:cs="宋体"/>
          <w:sz w:val="28"/>
          <w:szCs w:val="28"/>
        </w:rPr>
        <w:t>参选保证金0.5</w:t>
      </w:r>
      <w:r>
        <w:rPr>
          <w:rFonts w:hint="eastAsia" w:ascii="宋体" w:hAnsi="宋体" w:cs="宋体"/>
          <w:bCs/>
          <w:sz w:val="28"/>
          <w:szCs w:val="28"/>
        </w:rPr>
        <w:t>万元（须提交参选保证金汇款凭证复印件加盖参选人公章，原件备查）</w:t>
      </w:r>
      <w:bookmarkEnd w:id="0"/>
      <w:bookmarkEnd w:id="1"/>
      <w:bookmarkEnd w:id="2"/>
      <w:bookmarkEnd w:id="3"/>
      <w:bookmarkEnd w:id="4"/>
      <w:bookmarkEnd w:id="5"/>
      <w:bookmarkEnd w:id="6"/>
      <w:bookmarkEnd w:id="7"/>
      <w:r>
        <w:rPr>
          <w:rFonts w:hint="eastAsia" w:ascii="宋体" w:hAnsi="宋体" w:cs="宋体"/>
          <w:bCs/>
          <w:sz w:val="28"/>
          <w:szCs w:val="28"/>
        </w:rPr>
        <w:t>。</w:t>
      </w:r>
    </w:p>
    <w:p w14:paraId="58D7EE90">
      <w:pPr>
        <w:tabs>
          <w:tab w:val="left" w:pos="3000"/>
        </w:tabs>
        <w:spacing w:line="360" w:lineRule="auto"/>
        <w:rPr>
          <w:rFonts w:hint="eastAsia" w:ascii="宋体" w:hAnsi="宋体"/>
          <w:b/>
          <w:sz w:val="28"/>
          <w:szCs w:val="28"/>
        </w:rPr>
      </w:pPr>
      <w:bookmarkStart w:id="8" w:name="_Toc247085677"/>
      <w:bookmarkStart w:id="9" w:name="_Toc179632533"/>
      <w:bookmarkStart w:id="10" w:name="_Toc296602407"/>
      <w:bookmarkStart w:id="11" w:name="_Toc246996163"/>
      <w:bookmarkStart w:id="12" w:name="_Toc157499355"/>
      <w:bookmarkStart w:id="13" w:name="_Toc246996906"/>
      <w:r>
        <w:rPr>
          <w:rFonts w:hint="eastAsia" w:ascii="宋体" w:hAnsi="宋体"/>
          <w:b/>
          <w:sz w:val="28"/>
          <w:szCs w:val="28"/>
        </w:rPr>
        <w:t>四、比选文件的获取</w:t>
      </w:r>
    </w:p>
    <w:p w14:paraId="1F3A4E1C">
      <w:pPr>
        <w:spacing w:line="360" w:lineRule="auto"/>
        <w:ind w:firstLine="420" w:firstLineChars="150"/>
        <w:rPr>
          <w:rFonts w:hint="eastAsia" w:ascii="宋体" w:hAnsi="宋体"/>
          <w:b/>
          <w:sz w:val="28"/>
          <w:szCs w:val="28"/>
        </w:rPr>
      </w:pPr>
      <w:bookmarkStart w:id="14" w:name="_Toc152045516"/>
      <w:bookmarkStart w:id="15" w:name="_Toc179632532"/>
      <w:bookmarkStart w:id="16" w:name="_Toc246996905"/>
      <w:bookmarkStart w:id="17" w:name="_Toc247085676"/>
      <w:bookmarkStart w:id="18" w:name="_Toc152042292"/>
      <w:bookmarkStart w:id="19" w:name="_Toc296602406"/>
      <w:bookmarkStart w:id="20" w:name="_Toc246996162"/>
      <w:bookmarkStart w:id="21" w:name="_Toc144974484"/>
      <w:r>
        <w:rPr>
          <w:rFonts w:hint="eastAsia" w:ascii="宋体" w:hAnsi="宋体"/>
          <w:bCs/>
          <w:sz w:val="28"/>
          <w:szCs w:val="28"/>
        </w:rPr>
        <w:t>凡有意参加参选的单位在重庆渝开发股份有限公司网站（</w:t>
      </w:r>
      <w:r>
        <w:fldChar w:fldCharType="begin"/>
      </w:r>
      <w:r>
        <w:instrText xml:space="preserve"> HYPERLINK "http://www.cqukf.com" </w:instrText>
      </w:r>
      <w:r>
        <w:fldChar w:fldCharType="separate"/>
      </w:r>
      <w:r>
        <w:rPr>
          <w:rFonts w:ascii="宋体" w:hAnsi="宋体"/>
          <w:sz w:val="28"/>
          <w:szCs w:val="28"/>
        </w:rPr>
        <w:t>www.cqukf.com</w:t>
      </w:r>
      <w:r>
        <w:rPr>
          <w:rFonts w:ascii="宋体" w:hAnsi="宋体"/>
          <w:sz w:val="28"/>
          <w:szCs w:val="28"/>
        </w:rPr>
        <w:fldChar w:fldCharType="end"/>
      </w:r>
      <w:r>
        <w:rPr>
          <w:rFonts w:hint="eastAsia" w:ascii="宋体" w:hAnsi="宋体"/>
          <w:bCs/>
          <w:sz w:val="28"/>
          <w:szCs w:val="28"/>
        </w:rPr>
        <w:t>）、中国采购与招标网（</w:t>
      </w:r>
      <w:r>
        <w:rPr>
          <w:rFonts w:ascii="宋体" w:hAnsi="宋体"/>
          <w:bCs/>
          <w:sz w:val="28"/>
          <w:szCs w:val="28"/>
        </w:rPr>
        <w:t>www.chinabidding.com.cn</w:t>
      </w:r>
      <w:r>
        <w:rPr>
          <w:rFonts w:hint="eastAsia" w:ascii="宋体" w:hAnsi="宋体"/>
          <w:bCs/>
          <w:sz w:val="28"/>
          <w:szCs w:val="28"/>
        </w:rPr>
        <w:t>）、</w:t>
      </w:r>
      <w:r>
        <w:rPr>
          <w:rFonts w:ascii="宋体" w:hAnsi="宋体"/>
          <w:bCs/>
          <w:sz w:val="28"/>
          <w:szCs w:val="28"/>
        </w:rPr>
        <w:t>云采购网</w:t>
      </w:r>
      <w:r>
        <w:rPr>
          <w:rFonts w:hint="eastAsia" w:ascii="宋体" w:hAnsi="宋体"/>
          <w:bCs/>
          <w:sz w:val="28"/>
          <w:szCs w:val="28"/>
        </w:rPr>
        <w:t>（</w:t>
      </w:r>
      <w:r>
        <w:rPr>
          <w:rFonts w:ascii="宋体" w:hAnsi="宋体"/>
          <w:bCs/>
          <w:sz w:val="28"/>
          <w:szCs w:val="28"/>
        </w:rPr>
        <w:t>www.mycaigou.com </w:t>
      </w:r>
      <w:r>
        <w:rPr>
          <w:rFonts w:hint="eastAsia" w:ascii="宋体" w:hAnsi="宋体"/>
          <w:bCs/>
          <w:sz w:val="28"/>
          <w:szCs w:val="28"/>
        </w:rPr>
        <w:t>）自行下载比选文件。</w:t>
      </w:r>
      <w:bookmarkEnd w:id="14"/>
      <w:bookmarkEnd w:id="15"/>
      <w:bookmarkEnd w:id="16"/>
      <w:bookmarkEnd w:id="17"/>
      <w:bookmarkEnd w:id="18"/>
      <w:bookmarkEnd w:id="19"/>
      <w:bookmarkEnd w:id="20"/>
      <w:bookmarkEnd w:id="21"/>
    </w:p>
    <w:p w14:paraId="3C30356E">
      <w:pPr>
        <w:adjustRightInd w:val="0"/>
        <w:snapToGrid w:val="0"/>
        <w:spacing w:line="360" w:lineRule="auto"/>
        <w:rPr>
          <w:rFonts w:hint="eastAsia" w:ascii="宋体" w:hAnsi="宋体" w:cs="宋体"/>
          <w:b/>
          <w:bCs/>
          <w:sz w:val="28"/>
          <w:szCs w:val="28"/>
          <w:lang w:bidi="ar"/>
        </w:rPr>
      </w:pPr>
      <w:r>
        <w:rPr>
          <w:rFonts w:hint="eastAsia" w:ascii="宋体" w:hAnsi="宋体" w:cs="宋体"/>
          <w:b/>
          <w:bCs/>
          <w:sz w:val="28"/>
          <w:szCs w:val="28"/>
          <w:lang w:bidi="ar"/>
        </w:rPr>
        <w:t>五、 发布公告的媒介</w:t>
      </w:r>
      <w:bookmarkEnd w:id="8"/>
      <w:bookmarkEnd w:id="9"/>
      <w:bookmarkEnd w:id="10"/>
      <w:bookmarkEnd w:id="11"/>
      <w:bookmarkEnd w:id="12"/>
      <w:bookmarkEnd w:id="13"/>
    </w:p>
    <w:p w14:paraId="43DC06AB">
      <w:pPr>
        <w:spacing w:line="360" w:lineRule="auto"/>
        <w:ind w:firstLine="560" w:firstLineChars="200"/>
        <w:jc w:val="left"/>
        <w:rPr>
          <w:rFonts w:hint="eastAsia" w:ascii="宋体" w:hAnsi="宋体"/>
          <w:bCs/>
          <w:sz w:val="28"/>
          <w:szCs w:val="28"/>
        </w:rPr>
      </w:pPr>
      <w:bookmarkStart w:id="22" w:name="_Toc179632534"/>
      <w:bookmarkStart w:id="23" w:name="_Toc144974485"/>
      <w:bookmarkStart w:id="24" w:name="_Toc296602408"/>
      <w:bookmarkStart w:id="25" w:name="_Toc152042293"/>
      <w:bookmarkStart w:id="26" w:name="_Toc246996907"/>
      <w:bookmarkStart w:id="27" w:name="_Toc247085678"/>
      <w:bookmarkStart w:id="28" w:name="_Toc246996164"/>
      <w:bookmarkStart w:id="29" w:name="_Toc152045517"/>
      <w:r>
        <w:rPr>
          <w:rFonts w:hint="eastAsia" w:ascii="宋体" w:hAnsi="宋体"/>
          <w:bCs/>
          <w:sz w:val="28"/>
          <w:szCs w:val="28"/>
        </w:rPr>
        <w:t>本次竞争性比选公告在</w:t>
      </w:r>
      <w:r>
        <w:rPr>
          <w:rFonts w:ascii="宋体" w:hAnsi="宋体"/>
          <w:bCs/>
          <w:sz w:val="28"/>
          <w:szCs w:val="28"/>
        </w:rPr>
        <w:t>渝开发</w:t>
      </w:r>
      <w:r>
        <w:rPr>
          <w:rFonts w:hint="eastAsia" w:ascii="宋体" w:hAnsi="宋体"/>
          <w:bCs/>
          <w:sz w:val="28"/>
          <w:szCs w:val="28"/>
        </w:rPr>
        <w:t>公司网站（</w:t>
      </w:r>
      <w:r>
        <w:fldChar w:fldCharType="begin"/>
      </w:r>
      <w:r>
        <w:instrText xml:space="preserve"> HYPERLINK "http://www.cqukf.com" </w:instrText>
      </w:r>
      <w:r>
        <w:fldChar w:fldCharType="separate"/>
      </w:r>
      <w:r>
        <w:rPr>
          <w:rFonts w:ascii="宋体" w:hAnsi="宋体"/>
          <w:sz w:val="28"/>
          <w:szCs w:val="28"/>
        </w:rPr>
        <w:t>www.cqukf.com</w:t>
      </w:r>
      <w:r>
        <w:rPr>
          <w:rFonts w:ascii="宋体" w:hAnsi="宋体"/>
          <w:sz w:val="28"/>
          <w:szCs w:val="28"/>
        </w:rPr>
        <w:fldChar w:fldCharType="end"/>
      </w:r>
      <w:r>
        <w:rPr>
          <w:rFonts w:hint="eastAsia" w:ascii="宋体" w:hAnsi="宋体"/>
          <w:bCs/>
          <w:sz w:val="28"/>
          <w:szCs w:val="28"/>
        </w:rPr>
        <w:t>）、中国采购与招标网（</w:t>
      </w:r>
      <w:r>
        <w:rPr>
          <w:rFonts w:ascii="宋体" w:hAnsi="宋体"/>
          <w:bCs/>
          <w:sz w:val="28"/>
          <w:szCs w:val="28"/>
        </w:rPr>
        <w:t>www.chinabidding.com.cn</w:t>
      </w:r>
      <w:r>
        <w:rPr>
          <w:rFonts w:hint="eastAsia" w:ascii="宋体" w:hAnsi="宋体"/>
          <w:bCs/>
          <w:sz w:val="28"/>
          <w:szCs w:val="28"/>
        </w:rPr>
        <w:t>）、</w:t>
      </w:r>
      <w:r>
        <w:rPr>
          <w:rFonts w:ascii="宋体" w:hAnsi="宋体"/>
          <w:bCs/>
          <w:sz w:val="28"/>
          <w:szCs w:val="28"/>
        </w:rPr>
        <w:t>云采购网</w:t>
      </w:r>
      <w:r>
        <w:rPr>
          <w:rFonts w:hint="eastAsia" w:ascii="宋体" w:hAnsi="宋体"/>
          <w:bCs/>
          <w:sz w:val="28"/>
          <w:szCs w:val="28"/>
        </w:rPr>
        <w:t>（</w:t>
      </w:r>
      <w:r>
        <w:rPr>
          <w:rFonts w:ascii="宋体" w:hAnsi="宋体"/>
          <w:bCs/>
          <w:sz w:val="28"/>
          <w:szCs w:val="28"/>
        </w:rPr>
        <w:t>www.mycaigou.com </w:t>
      </w:r>
      <w:r>
        <w:rPr>
          <w:rFonts w:hint="eastAsia" w:ascii="宋体" w:hAnsi="宋体"/>
          <w:bCs/>
          <w:sz w:val="28"/>
          <w:szCs w:val="28"/>
        </w:rPr>
        <w:t>）进行发布。</w:t>
      </w:r>
      <w:bookmarkEnd w:id="22"/>
      <w:bookmarkEnd w:id="23"/>
      <w:bookmarkEnd w:id="24"/>
      <w:bookmarkEnd w:id="25"/>
      <w:bookmarkEnd w:id="26"/>
      <w:bookmarkEnd w:id="27"/>
      <w:bookmarkEnd w:id="28"/>
      <w:bookmarkEnd w:id="29"/>
    </w:p>
    <w:p w14:paraId="7589CE57">
      <w:pPr>
        <w:tabs>
          <w:tab w:val="left" w:pos="3960"/>
        </w:tabs>
        <w:spacing w:line="360" w:lineRule="auto"/>
        <w:rPr>
          <w:rFonts w:hint="eastAsia" w:ascii="宋体" w:hAnsi="宋体" w:cs="宋体"/>
          <w:b/>
          <w:bCs/>
          <w:sz w:val="28"/>
          <w:szCs w:val="28"/>
        </w:rPr>
      </w:pPr>
      <w:r>
        <w:rPr>
          <w:rFonts w:hint="eastAsia" w:ascii="宋体" w:hAnsi="宋体" w:cs="宋体"/>
          <w:b/>
          <w:bCs/>
          <w:sz w:val="28"/>
          <w:szCs w:val="28"/>
        </w:rPr>
        <w:t>六、比选文件获取</w:t>
      </w:r>
    </w:p>
    <w:p w14:paraId="050F364D">
      <w:pPr>
        <w:tabs>
          <w:tab w:val="left" w:pos="3960"/>
        </w:tabs>
        <w:spacing w:line="360" w:lineRule="auto"/>
        <w:ind w:left="7" w:firstLine="481" w:firstLineChars="172"/>
        <w:rPr>
          <w:rFonts w:hint="eastAsia" w:ascii="宋体" w:hAnsi="宋体" w:cs="宋体"/>
          <w:sz w:val="28"/>
          <w:szCs w:val="28"/>
        </w:rPr>
      </w:pPr>
      <w:r>
        <w:rPr>
          <w:rFonts w:hint="eastAsia" w:ascii="宋体" w:hAnsi="宋体" w:cs="宋体"/>
          <w:sz w:val="28"/>
          <w:szCs w:val="28"/>
        </w:rPr>
        <w:t>比选人不提供纸质比选文件，自本公告发布之日起，参选人自行在本公告发布媒介下载比选文件、答疑文件等。</w:t>
      </w:r>
    </w:p>
    <w:p w14:paraId="175666CC">
      <w:pPr>
        <w:tabs>
          <w:tab w:val="left" w:pos="3960"/>
        </w:tabs>
        <w:spacing w:line="360" w:lineRule="auto"/>
        <w:rPr>
          <w:rFonts w:hint="eastAsia" w:ascii="宋体" w:hAnsi="宋体" w:cs="宋体"/>
          <w:b/>
          <w:bCs/>
          <w:sz w:val="28"/>
          <w:szCs w:val="28"/>
        </w:rPr>
      </w:pPr>
      <w:r>
        <w:rPr>
          <w:rFonts w:hint="eastAsia" w:ascii="宋体" w:hAnsi="宋体" w:cs="宋体"/>
          <w:b/>
          <w:bCs/>
          <w:sz w:val="28"/>
          <w:szCs w:val="28"/>
        </w:rPr>
        <w:t>七、 参选文件的递交</w:t>
      </w:r>
    </w:p>
    <w:p w14:paraId="3F1961D9">
      <w:pPr>
        <w:tabs>
          <w:tab w:val="left" w:pos="3960"/>
        </w:tabs>
        <w:spacing w:line="360" w:lineRule="auto"/>
        <w:rPr>
          <w:rFonts w:hint="eastAsia" w:ascii="宋体" w:hAnsi="宋体" w:cs="宋体"/>
          <w:sz w:val="28"/>
          <w:szCs w:val="28"/>
          <w:u w:val="single"/>
        </w:rPr>
      </w:pPr>
      <w:r>
        <w:rPr>
          <w:rFonts w:hint="eastAsia" w:ascii="宋体" w:hAnsi="宋体" w:cs="宋体"/>
          <w:sz w:val="28"/>
          <w:szCs w:val="28"/>
        </w:rPr>
        <w:t xml:space="preserve">  1、参选文件递交的截止时间为</w:t>
      </w:r>
      <w:r>
        <w:rPr>
          <w:rFonts w:hint="eastAsia" w:ascii="宋体" w:hAnsi="宋体" w:cs="宋体"/>
          <w:sz w:val="28"/>
          <w:szCs w:val="28"/>
          <w:u w:val="single"/>
        </w:rPr>
        <w:t xml:space="preserve">2024 年  </w:t>
      </w:r>
      <w:r>
        <w:rPr>
          <w:rFonts w:hint="eastAsia" w:ascii="宋体" w:hAnsi="宋体" w:cs="宋体"/>
          <w:sz w:val="28"/>
          <w:szCs w:val="28"/>
          <w:u w:val="single"/>
          <w:lang w:val="en-US" w:eastAsia="zh-CN"/>
        </w:rPr>
        <w:t>10</w:t>
      </w:r>
      <w:r>
        <w:rPr>
          <w:rFonts w:hint="eastAsia" w:ascii="宋体" w:hAnsi="宋体" w:cs="宋体"/>
          <w:sz w:val="28"/>
          <w:szCs w:val="28"/>
          <w:u w:val="single"/>
        </w:rPr>
        <w:t xml:space="preserve"> 月  </w:t>
      </w:r>
      <w:r>
        <w:rPr>
          <w:rFonts w:hint="eastAsia" w:ascii="宋体" w:hAnsi="宋体" w:cs="宋体"/>
          <w:sz w:val="28"/>
          <w:szCs w:val="28"/>
          <w:u w:val="single"/>
          <w:lang w:val="en-US" w:eastAsia="zh-CN"/>
        </w:rPr>
        <w:t>11</w:t>
      </w:r>
      <w:r>
        <w:rPr>
          <w:rFonts w:hint="eastAsia" w:ascii="宋体" w:hAnsi="宋体" w:cs="宋体"/>
          <w:sz w:val="28"/>
          <w:szCs w:val="28"/>
          <w:u w:val="single"/>
        </w:rPr>
        <w:t xml:space="preserve">  日 14  时 0  分，地点为 渝中区上清寺街道中山三路128号投资大厦2601室 。</w:t>
      </w:r>
    </w:p>
    <w:p w14:paraId="11F83999">
      <w:pPr>
        <w:tabs>
          <w:tab w:val="left" w:pos="3960"/>
        </w:tabs>
        <w:spacing w:line="360" w:lineRule="auto"/>
        <w:rPr>
          <w:rFonts w:hint="eastAsia" w:ascii="宋体" w:hAnsi="宋体" w:cs="宋体"/>
          <w:sz w:val="28"/>
          <w:szCs w:val="28"/>
        </w:rPr>
      </w:pPr>
      <w:r>
        <w:rPr>
          <w:rFonts w:hint="eastAsia" w:ascii="宋体" w:hAnsi="宋体" w:cs="宋体"/>
          <w:sz w:val="28"/>
          <w:szCs w:val="28"/>
        </w:rPr>
        <w:t xml:space="preserve">  2、逾期送达的或未送达指定地点的参选文件，比选人不予受理。</w:t>
      </w:r>
    </w:p>
    <w:p w14:paraId="577B63CB">
      <w:pPr>
        <w:tabs>
          <w:tab w:val="left" w:pos="3960"/>
        </w:tabs>
        <w:spacing w:line="360" w:lineRule="auto"/>
        <w:jc w:val="left"/>
        <w:rPr>
          <w:rFonts w:hint="eastAsia" w:ascii="宋体" w:hAnsi="宋体" w:cs="宋体"/>
          <w:sz w:val="28"/>
          <w:szCs w:val="28"/>
          <w:u w:val="single"/>
        </w:rPr>
      </w:pPr>
      <w:r>
        <w:rPr>
          <w:rFonts w:hint="eastAsia" w:ascii="宋体" w:hAnsi="宋体" w:cs="宋体"/>
          <w:sz w:val="28"/>
          <w:szCs w:val="28"/>
        </w:rPr>
        <w:t xml:space="preserve">  3、 本次比选联系人： </w:t>
      </w:r>
      <w:r>
        <w:rPr>
          <w:rFonts w:hint="eastAsia" w:ascii="宋体" w:hAnsi="宋体" w:cs="宋体"/>
          <w:sz w:val="28"/>
          <w:szCs w:val="28"/>
          <w:u w:val="single"/>
        </w:rPr>
        <w:t xml:space="preserve"> 张老师 ；联系电话：  023-63263260       </w:t>
      </w:r>
    </w:p>
    <w:p w14:paraId="08275C6D">
      <w:pPr>
        <w:adjustRightInd w:val="0"/>
        <w:snapToGrid w:val="0"/>
        <w:spacing w:line="360" w:lineRule="auto"/>
        <w:jc w:val="center"/>
        <w:rPr>
          <w:rFonts w:hint="eastAsia" w:ascii="宋体" w:hAnsi="宋体" w:cs="宋体"/>
          <w:b/>
          <w:sz w:val="28"/>
          <w:szCs w:val="28"/>
        </w:rPr>
      </w:pPr>
    </w:p>
    <w:p w14:paraId="7DEA0DF7">
      <w:pPr>
        <w:adjustRightInd w:val="0"/>
        <w:snapToGrid w:val="0"/>
        <w:spacing w:line="360" w:lineRule="auto"/>
        <w:jc w:val="right"/>
        <w:rPr>
          <w:rFonts w:hint="eastAsia" w:ascii="宋体" w:hAnsi="宋体" w:cs="宋体"/>
          <w:b/>
          <w:sz w:val="28"/>
          <w:szCs w:val="28"/>
        </w:rPr>
      </w:pPr>
      <w:r>
        <w:rPr>
          <w:rFonts w:hint="eastAsia" w:ascii="宋体" w:hAnsi="宋体" w:cs="宋体"/>
          <w:b/>
          <w:sz w:val="28"/>
          <w:szCs w:val="28"/>
        </w:rPr>
        <w:t>比选人：重庆渝开发股份有限公司</w:t>
      </w:r>
    </w:p>
    <w:p w14:paraId="3B618EE0">
      <w:pPr>
        <w:pStyle w:val="11"/>
        <w:ind w:firstLine="562" w:firstLineChars="200"/>
        <w:rPr>
          <w:rFonts w:hint="eastAsia" w:ascii="宋体" w:hAnsi="宋体" w:cs="宋体"/>
          <w:sz w:val="44"/>
          <w:szCs w:val="44"/>
        </w:rPr>
      </w:pPr>
      <w:r>
        <w:rPr>
          <w:rFonts w:hint="eastAsia" w:ascii="宋体" w:hAnsi="宋体" w:cs="宋体"/>
          <w:sz w:val="28"/>
          <w:szCs w:val="28"/>
        </w:rPr>
        <w:t xml:space="preserve">                                        2024年 9  月 2</w:t>
      </w:r>
      <w:r>
        <w:rPr>
          <w:rFonts w:hint="eastAsia" w:ascii="宋体" w:hAnsi="宋体" w:cs="宋体"/>
          <w:sz w:val="28"/>
          <w:szCs w:val="28"/>
          <w:lang w:val="en-US" w:eastAsia="zh-CN"/>
        </w:rPr>
        <w:t>9</w:t>
      </w:r>
      <w:r>
        <w:rPr>
          <w:rFonts w:hint="eastAsia" w:ascii="宋体" w:hAnsi="宋体" w:cs="宋体"/>
          <w:sz w:val="28"/>
          <w:szCs w:val="28"/>
        </w:rPr>
        <w:t xml:space="preserve">  日</w:t>
      </w:r>
      <w:r>
        <w:rPr>
          <w:rFonts w:hint="eastAsia" w:ascii="宋体" w:hAnsi="宋体" w:cs="宋体"/>
          <w:sz w:val="44"/>
          <w:szCs w:val="44"/>
        </w:rPr>
        <w:br w:type="page"/>
      </w:r>
      <w:r>
        <w:rPr>
          <w:rFonts w:hint="eastAsia" w:ascii="宋体" w:hAnsi="宋体" w:cs="宋体"/>
          <w:sz w:val="28"/>
          <w:szCs w:val="28"/>
        </w:rPr>
        <w:t>附件：</w:t>
      </w:r>
    </w:p>
    <w:p w14:paraId="0116A9E5">
      <w:pPr>
        <w:pStyle w:val="11"/>
        <w:ind w:firstLine="562" w:firstLineChars="200"/>
        <w:jc w:val="center"/>
        <w:rPr>
          <w:rFonts w:hint="eastAsia" w:ascii="宋体" w:hAnsi="宋体"/>
          <w:bCs w:val="0"/>
          <w:sz w:val="28"/>
          <w:szCs w:val="28"/>
        </w:rPr>
      </w:pPr>
      <w:r>
        <w:rPr>
          <w:rFonts w:hint="eastAsia" w:ascii="宋体" w:hAnsi="宋体" w:cs="宋体"/>
          <w:sz w:val="28"/>
          <w:szCs w:val="28"/>
        </w:rPr>
        <w:t>渝开发2024年年度市场监测咨询服务工作内容</w:t>
      </w:r>
    </w:p>
    <w:tbl>
      <w:tblPr>
        <w:tblStyle w:val="12"/>
        <w:tblW w:w="51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970"/>
        <w:gridCol w:w="1315"/>
        <w:gridCol w:w="6781"/>
      </w:tblGrid>
      <w:tr w14:paraId="6F856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35" w:type="pct"/>
            <w:shd w:val="clear" w:color="auto" w:fill="D9D9D9"/>
            <w:vAlign w:val="center"/>
          </w:tcPr>
          <w:p w14:paraId="5CC6620B">
            <w:pPr>
              <w:widowControl/>
              <w:spacing w:line="320" w:lineRule="exact"/>
              <w:jc w:val="center"/>
              <w:textAlignment w:val="center"/>
              <w:rPr>
                <w:rFonts w:hint="eastAsia" w:ascii="黑体" w:hAnsi="宋体" w:eastAsia="黑体" w:cs="黑体"/>
                <w:b/>
                <w:bCs/>
                <w:color w:val="000000"/>
                <w:szCs w:val="21"/>
              </w:rPr>
            </w:pPr>
            <w:r>
              <w:rPr>
                <w:rFonts w:hint="eastAsia" w:ascii="黑体" w:hAnsi="宋体" w:eastAsia="黑体" w:cs="黑体"/>
                <w:b/>
                <w:bCs/>
                <w:color w:val="000000"/>
                <w:kern w:val="0"/>
                <w:szCs w:val="21"/>
                <w:lang w:bidi="ar"/>
              </w:rPr>
              <w:t>序号</w:t>
            </w:r>
          </w:p>
        </w:tc>
        <w:tc>
          <w:tcPr>
            <w:tcW w:w="1150" w:type="pct"/>
            <w:gridSpan w:val="2"/>
            <w:shd w:val="clear" w:color="auto" w:fill="D9D9D9"/>
            <w:vAlign w:val="center"/>
          </w:tcPr>
          <w:p w14:paraId="25444535">
            <w:pPr>
              <w:widowControl/>
              <w:spacing w:line="320" w:lineRule="exact"/>
              <w:jc w:val="center"/>
              <w:textAlignment w:val="center"/>
              <w:rPr>
                <w:rFonts w:hint="eastAsia" w:ascii="黑体" w:hAnsi="宋体" w:eastAsia="黑体" w:cs="黑体"/>
                <w:b/>
                <w:bCs/>
                <w:color w:val="000000"/>
                <w:szCs w:val="21"/>
              </w:rPr>
            </w:pPr>
            <w:r>
              <w:rPr>
                <w:rFonts w:hint="eastAsia" w:ascii="黑体" w:hAnsi="宋体" w:eastAsia="黑体" w:cs="黑体"/>
                <w:b/>
                <w:bCs/>
                <w:color w:val="000000"/>
                <w:kern w:val="0"/>
                <w:szCs w:val="21"/>
                <w:lang w:bidi="ar"/>
              </w:rPr>
              <w:t>服务内容</w:t>
            </w:r>
          </w:p>
        </w:tc>
        <w:tc>
          <w:tcPr>
            <w:tcW w:w="3413" w:type="pct"/>
            <w:shd w:val="clear" w:color="auto" w:fill="D9D9D9"/>
            <w:vAlign w:val="center"/>
          </w:tcPr>
          <w:p w14:paraId="2E15C650">
            <w:pPr>
              <w:widowControl/>
              <w:spacing w:line="320" w:lineRule="exact"/>
              <w:jc w:val="center"/>
              <w:textAlignment w:val="center"/>
              <w:rPr>
                <w:rFonts w:hint="eastAsia" w:ascii="黑体" w:hAnsi="宋体" w:eastAsia="黑体" w:cs="黑体"/>
                <w:b/>
                <w:bCs/>
                <w:color w:val="000000"/>
                <w:szCs w:val="21"/>
              </w:rPr>
            </w:pPr>
            <w:r>
              <w:rPr>
                <w:rFonts w:hint="eastAsia" w:ascii="黑体" w:hAnsi="宋体" w:eastAsia="黑体" w:cs="黑体"/>
                <w:b/>
                <w:bCs/>
                <w:color w:val="000000"/>
                <w:kern w:val="0"/>
                <w:szCs w:val="21"/>
                <w:lang w:bidi="ar"/>
              </w:rPr>
              <w:t>服务项目</w:t>
            </w:r>
          </w:p>
        </w:tc>
      </w:tr>
      <w:tr w14:paraId="3FDB4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5" w:type="pct"/>
            <w:vMerge w:val="restart"/>
            <w:shd w:val="clear" w:color="auto" w:fill="auto"/>
            <w:vAlign w:val="center"/>
          </w:tcPr>
          <w:p w14:paraId="40E2F185">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1</w:t>
            </w:r>
          </w:p>
        </w:tc>
        <w:tc>
          <w:tcPr>
            <w:tcW w:w="488" w:type="pct"/>
            <w:vMerge w:val="restart"/>
            <w:shd w:val="clear" w:color="auto" w:fill="auto"/>
            <w:vAlign w:val="center"/>
          </w:tcPr>
          <w:p w14:paraId="20329E76">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周度</w:t>
            </w:r>
          </w:p>
        </w:tc>
        <w:tc>
          <w:tcPr>
            <w:tcW w:w="662" w:type="pct"/>
            <w:vMerge w:val="restart"/>
            <w:shd w:val="clear" w:color="auto" w:fill="auto"/>
            <w:vAlign w:val="center"/>
          </w:tcPr>
          <w:p w14:paraId="5B7B7585">
            <w:pPr>
              <w:widowControl/>
              <w:spacing w:line="320" w:lineRule="exact"/>
              <w:jc w:val="center"/>
              <w:textAlignment w:val="center"/>
              <w:rPr>
                <w:rFonts w:hint="eastAsia"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普通周报</w:t>
            </w:r>
          </w:p>
          <w:p w14:paraId="6372E209">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（2个）</w:t>
            </w:r>
          </w:p>
        </w:tc>
        <w:tc>
          <w:tcPr>
            <w:tcW w:w="3413" w:type="pct"/>
            <w:shd w:val="clear" w:color="auto" w:fill="auto"/>
            <w:vAlign w:val="center"/>
          </w:tcPr>
          <w:p w14:paraId="55F3645D">
            <w:pPr>
              <w:widowControl/>
              <w:numPr>
                <w:ilvl w:val="0"/>
                <w:numId w:val="3"/>
              </w:numPr>
              <w:spacing w:line="320" w:lineRule="exact"/>
              <w:jc w:val="left"/>
              <w:textAlignment w:val="center"/>
              <w:rPr>
                <w:rFonts w:hint="eastAsia"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《重庆市中心城区土地市场周报》</w:t>
            </w:r>
          </w:p>
          <w:p w14:paraId="744FEBE7">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1、土地供应分析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2、土地成交分析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3、土地成交预告</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4、控规修改</w:t>
            </w:r>
          </w:p>
        </w:tc>
      </w:tr>
      <w:tr w14:paraId="563AC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trPr>
        <w:tc>
          <w:tcPr>
            <w:tcW w:w="435" w:type="pct"/>
            <w:vMerge w:val="continue"/>
            <w:shd w:val="clear" w:color="auto" w:fill="auto"/>
            <w:vAlign w:val="center"/>
          </w:tcPr>
          <w:p w14:paraId="6BDA528F">
            <w:pPr>
              <w:widowControl/>
              <w:spacing w:line="320" w:lineRule="exact"/>
              <w:jc w:val="center"/>
              <w:rPr>
                <w:rFonts w:hint="eastAsia" w:ascii="黑体" w:hAnsi="宋体" w:eastAsia="黑体" w:cs="黑体"/>
                <w:color w:val="000000"/>
                <w:sz w:val="20"/>
                <w:szCs w:val="20"/>
              </w:rPr>
            </w:pPr>
          </w:p>
        </w:tc>
        <w:tc>
          <w:tcPr>
            <w:tcW w:w="488" w:type="pct"/>
            <w:vMerge w:val="continue"/>
            <w:shd w:val="clear" w:color="auto" w:fill="auto"/>
            <w:vAlign w:val="center"/>
          </w:tcPr>
          <w:p w14:paraId="45F9DCE5">
            <w:pPr>
              <w:widowControl/>
              <w:spacing w:line="320" w:lineRule="exact"/>
              <w:jc w:val="center"/>
              <w:rPr>
                <w:rFonts w:hint="eastAsia" w:ascii="黑体" w:hAnsi="宋体" w:eastAsia="黑体" w:cs="黑体"/>
                <w:color w:val="000000"/>
                <w:sz w:val="20"/>
                <w:szCs w:val="20"/>
              </w:rPr>
            </w:pPr>
          </w:p>
        </w:tc>
        <w:tc>
          <w:tcPr>
            <w:tcW w:w="662" w:type="pct"/>
            <w:vMerge w:val="continue"/>
            <w:shd w:val="clear" w:color="auto" w:fill="auto"/>
            <w:vAlign w:val="center"/>
          </w:tcPr>
          <w:p w14:paraId="63B90A54">
            <w:pPr>
              <w:widowControl/>
              <w:spacing w:line="320" w:lineRule="exact"/>
              <w:jc w:val="center"/>
              <w:rPr>
                <w:rFonts w:hint="eastAsia" w:ascii="黑体" w:hAnsi="宋体" w:eastAsia="黑体" w:cs="黑体"/>
                <w:color w:val="000000"/>
                <w:sz w:val="20"/>
                <w:szCs w:val="20"/>
              </w:rPr>
            </w:pPr>
          </w:p>
        </w:tc>
        <w:tc>
          <w:tcPr>
            <w:tcW w:w="3413" w:type="pct"/>
            <w:shd w:val="clear" w:color="auto" w:fill="auto"/>
            <w:vAlign w:val="center"/>
          </w:tcPr>
          <w:p w14:paraId="5EEC1787">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（二）《重庆市中心城区房地产市场周报》</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1、周度大事件：政策焦点/行业资讯/城市规划/经济产业</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2、商品房市场成交排行</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3、整体市场供需分析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4、细分市场供需分析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5、商品房市场供应分析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6、营销推广分析</w:t>
            </w:r>
          </w:p>
        </w:tc>
      </w:tr>
      <w:tr w14:paraId="6DECE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5" w:type="pct"/>
            <w:vMerge w:val="continue"/>
            <w:shd w:val="clear" w:color="auto" w:fill="auto"/>
            <w:vAlign w:val="center"/>
          </w:tcPr>
          <w:p w14:paraId="6A1E2047">
            <w:pPr>
              <w:widowControl/>
              <w:spacing w:line="320" w:lineRule="exact"/>
              <w:jc w:val="center"/>
              <w:rPr>
                <w:rFonts w:hint="eastAsia" w:ascii="黑体" w:hAnsi="宋体" w:eastAsia="黑体" w:cs="黑体"/>
                <w:color w:val="000000"/>
                <w:sz w:val="20"/>
                <w:szCs w:val="20"/>
              </w:rPr>
            </w:pPr>
          </w:p>
        </w:tc>
        <w:tc>
          <w:tcPr>
            <w:tcW w:w="488" w:type="pct"/>
            <w:vMerge w:val="continue"/>
            <w:shd w:val="clear" w:color="auto" w:fill="auto"/>
            <w:vAlign w:val="center"/>
          </w:tcPr>
          <w:p w14:paraId="73D37450">
            <w:pPr>
              <w:widowControl/>
              <w:spacing w:line="320" w:lineRule="exact"/>
              <w:jc w:val="center"/>
              <w:rPr>
                <w:rFonts w:hint="eastAsia" w:ascii="黑体" w:hAnsi="宋体" w:eastAsia="黑体" w:cs="黑体"/>
                <w:color w:val="000000"/>
                <w:sz w:val="20"/>
                <w:szCs w:val="20"/>
              </w:rPr>
            </w:pPr>
          </w:p>
        </w:tc>
        <w:tc>
          <w:tcPr>
            <w:tcW w:w="662" w:type="pct"/>
            <w:vMerge w:val="restart"/>
            <w:shd w:val="clear" w:color="auto" w:fill="auto"/>
            <w:vAlign w:val="center"/>
          </w:tcPr>
          <w:p w14:paraId="60CBD891">
            <w:pPr>
              <w:widowControl/>
              <w:spacing w:line="320" w:lineRule="exact"/>
              <w:jc w:val="center"/>
              <w:textAlignment w:val="center"/>
              <w:rPr>
                <w:rFonts w:hint="eastAsia"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专属周报</w:t>
            </w:r>
          </w:p>
          <w:p w14:paraId="1C223305">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（3个）</w:t>
            </w:r>
          </w:p>
        </w:tc>
        <w:tc>
          <w:tcPr>
            <w:tcW w:w="3413" w:type="pct"/>
            <w:shd w:val="clear" w:color="auto" w:fill="auto"/>
            <w:vAlign w:val="center"/>
          </w:tcPr>
          <w:p w14:paraId="024F9E10">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（一）《渝开发-核心项目周边竞争格局分析报告》</w:t>
            </w:r>
          </w:p>
        </w:tc>
      </w:tr>
      <w:tr w14:paraId="6F204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5" w:type="pct"/>
            <w:vMerge w:val="continue"/>
            <w:shd w:val="clear" w:color="auto" w:fill="auto"/>
            <w:vAlign w:val="center"/>
          </w:tcPr>
          <w:p w14:paraId="5B59E9EB">
            <w:pPr>
              <w:widowControl/>
              <w:spacing w:line="320" w:lineRule="exact"/>
              <w:jc w:val="center"/>
              <w:rPr>
                <w:rFonts w:hint="eastAsia" w:ascii="黑体" w:hAnsi="宋体" w:eastAsia="黑体" w:cs="黑体"/>
                <w:color w:val="000000"/>
                <w:sz w:val="20"/>
                <w:szCs w:val="20"/>
              </w:rPr>
            </w:pPr>
          </w:p>
        </w:tc>
        <w:tc>
          <w:tcPr>
            <w:tcW w:w="488" w:type="pct"/>
            <w:vMerge w:val="continue"/>
            <w:shd w:val="clear" w:color="auto" w:fill="auto"/>
            <w:vAlign w:val="center"/>
          </w:tcPr>
          <w:p w14:paraId="1CF16911">
            <w:pPr>
              <w:widowControl/>
              <w:spacing w:line="320" w:lineRule="exact"/>
              <w:jc w:val="center"/>
              <w:rPr>
                <w:rFonts w:hint="eastAsia" w:ascii="黑体" w:hAnsi="宋体" w:eastAsia="黑体" w:cs="黑体"/>
                <w:color w:val="000000"/>
                <w:sz w:val="20"/>
                <w:szCs w:val="20"/>
              </w:rPr>
            </w:pPr>
          </w:p>
        </w:tc>
        <w:tc>
          <w:tcPr>
            <w:tcW w:w="662" w:type="pct"/>
            <w:vMerge w:val="continue"/>
            <w:shd w:val="clear" w:color="auto" w:fill="auto"/>
            <w:vAlign w:val="center"/>
          </w:tcPr>
          <w:p w14:paraId="766BAB9B">
            <w:pPr>
              <w:widowControl/>
              <w:spacing w:line="320" w:lineRule="exact"/>
              <w:jc w:val="center"/>
              <w:rPr>
                <w:rFonts w:hint="eastAsia" w:ascii="黑体" w:hAnsi="宋体" w:eastAsia="黑体" w:cs="黑体"/>
                <w:color w:val="000000"/>
                <w:sz w:val="20"/>
                <w:szCs w:val="20"/>
              </w:rPr>
            </w:pPr>
          </w:p>
        </w:tc>
        <w:tc>
          <w:tcPr>
            <w:tcW w:w="3413" w:type="pct"/>
            <w:shd w:val="clear" w:color="auto" w:fill="auto"/>
            <w:vAlign w:val="center"/>
          </w:tcPr>
          <w:p w14:paraId="6CBC6AC0">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（二）《中心城区住宅市场周度简报》</w:t>
            </w:r>
          </w:p>
        </w:tc>
      </w:tr>
      <w:tr w14:paraId="35EAC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5" w:type="pct"/>
            <w:vMerge w:val="continue"/>
            <w:shd w:val="clear" w:color="auto" w:fill="auto"/>
            <w:vAlign w:val="center"/>
          </w:tcPr>
          <w:p w14:paraId="11F1F47C">
            <w:pPr>
              <w:widowControl/>
              <w:spacing w:line="320" w:lineRule="exact"/>
              <w:jc w:val="center"/>
              <w:rPr>
                <w:rFonts w:hint="eastAsia" w:ascii="黑体" w:hAnsi="宋体" w:eastAsia="黑体" w:cs="黑体"/>
                <w:color w:val="000000"/>
                <w:sz w:val="20"/>
                <w:szCs w:val="20"/>
              </w:rPr>
            </w:pPr>
          </w:p>
        </w:tc>
        <w:tc>
          <w:tcPr>
            <w:tcW w:w="488" w:type="pct"/>
            <w:vMerge w:val="continue"/>
            <w:shd w:val="clear" w:color="auto" w:fill="auto"/>
            <w:vAlign w:val="center"/>
          </w:tcPr>
          <w:p w14:paraId="75CC4436">
            <w:pPr>
              <w:widowControl/>
              <w:spacing w:line="320" w:lineRule="exact"/>
              <w:jc w:val="center"/>
              <w:rPr>
                <w:rFonts w:hint="eastAsia" w:ascii="黑体" w:hAnsi="宋体" w:eastAsia="黑体" w:cs="黑体"/>
                <w:color w:val="000000"/>
                <w:sz w:val="20"/>
                <w:szCs w:val="20"/>
              </w:rPr>
            </w:pPr>
          </w:p>
        </w:tc>
        <w:tc>
          <w:tcPr>
            <w:tcW w:w="662" w:type="pct"/>
            <w:vMerge w:val="continue"/>
            <w:shd w:val="clear" w:color="auto" w:fill="auto"/>
            <w:vAlign w:val="center"/>
          </w:tcPr>
          <w:p w14:paraId="36DF50B7">
            <w:pPr>
              <w:widowControl/>
              <w:spacing w:line="320" w:lineRule="exact"/>
              <w:jc w:val="center"/>
              <w:rPr>
                <w:rFonts w:hint="eastAsia" w:ascii="黑体" w:hAnsi="宋体" w:eastAsia="黑体" w:cs="黑体"/>
                <w:color w:val="000000"/>
                <w:sz w:val="20"/>
                <w:szCs w:val="20"/>
              </w:rPr>
            </w:pPr>
          </w:p>
        </w:tc>
        <w:tc>
          <w:tcPr>
            <w:tcW w:w="3413" w:type="pct"/>
            <w:shd w:val="clear" w:color="auto" w:fill="auto"/>
            <w:vAlign w:val="center"/>
          </w:tcPr>
          <w:p w14:paraId="36E994F2">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（三）《中心城区及竞品板块周度简报》</w:t>
            </w:r>
          </w:p>
        </w:tc>
      </w:tr>
      <w:tr w14:paraId="0320F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5" w:type="pct"/>
            <w:vMerge w:val="continue"/>
            <w:shd w:val="clear" w:color="auto" w:fill="auto"/>
            <w:vAlign w:val="center"/>
          </w:tcPr>
          <w:p w14:paraId="47B08AD7">
            <w:pPr>
              <w:widowControl/>
              <w:spacing w:line="320" w:lineRule="exact"/>
              <w:jc w:val="center"/>
              <w:rPr>
                <w:rFonts w:hint="eastAsia" w:ascii="黑体" w:hAnsi="宋体" w:eastAsia="黑体" w:cs="黑体"/>
                <w:color w:val="000000"/>
                <w:sz w:val="20"/>
                <w:szCs w:val="20"/>
              </w:rPr>
            </w:pPr>
          </w:p>
        </w:tc>
        <w:tc>
          <w:tcPr>
            <w:tcW w:w="488" w:type="pct"/>
            <w:vMerge w:val="continue"/>
            <w:shd w:val="clear" w:color="auto" w:fill="auto"/>
            <w:vAlign w:val="center"/>
          </w:tcPr>
          <w:p w14:paraId="11DBAA42">
            <w:pPr>
              <w:widowControl/>
              <w:spacing w:line="320" w:lineRule="exact"/>
              <w:jc w:val="center"/>
              <w:rPr>
                <w:rFonts w:hint="eastAsia" w:ascii="黑体" w:hAnsi="宋体" w:eastAsia="黑体" w:cs="黑体"/>
                <w:color w:val="000000"/>
                <w:sz w:val="20"/>
                <w:szCs w:val="20"/>
              </w:rPr>
            </w:pPr>
          </w:p>
        </w:tc>
        <w:tc>
          <w:tcPr>
            <w:tcW w:w="662" w:type="pct"/>
            <w:vMerge w:val="restart"/>
            <w:shd w:val="clear" w:color="auto" w:fill="auto"/>
            <w:vAlign w:val="center"/>
          </w:tcPr>
          <w:p w14:paraId="12A3B286">
            <w:pPr>
              <w:widowControl/>
              <w:spacing w:line="320" w:lineRule="exact"/>
              <w:jc w:val="center"/>
              <w:textAlignment w:val="center"/>
              <w:rPr>
                <w:rFonts w:hint="eastAsia"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周度数据表</w:t>
            </w:r>
          </w:p>
          <w:p w14:paraId="310E6377">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（4个）</w:t>
            </w:r>
          </w:p>
        </w:tc>
        <w:tc>
          <w:tcPr>
            <w:tcW w:w="3413" w:type="pct"/>
            <w:shd w:val="clear" w:color="auto" w:fill="auto"/>
            <w:vAlign w:val="center"/>
          </w:tcPr>
          <w:p w14:paraId="1A1C6B85">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（一）南樾天宸-竞品成交数据跟踪</w:t>
            </w:r>
          </w:p>
        </w:tc>
      </w:tr>
      <w:tr w14:paraId="3DAD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5" w:type="pct"/>
            <w:vMerge w:val="continue"/>
            <w:shd w:val="clear" w:color="auto" w:fill="auto"/>
            <w:vAlign w:val="center"/>
          </w:tcPr>
          <w:p w14:paraId="765F5C0D">
            <w:pPr>
              <w:widowControl/>
              <w:spacing w:line="320" w:lineRule="exact"/>
              <w:jc w:val="center"/>
              <w:rPr>
                <w:rFonts w:hint="eastAsia" w:ascii="黑体" w:hAnsi="宋体" w:eastAsia="黑体" w:cs="黑体"/>
                <w:color w:val="000000"/>
                <w:sz w:val="20"/>
                <w:szCs w:val="20"/>
              </w:rPr>
            </w:pPr>
          </w:p>
        </w:tc>
        <w:tc>
          <w:tcPr>
            <w:tcW w:w="488" w:type="pct"/>
            <w:vMerge w:val="continue"/>
            <w:shd w:val="clear" w:color="auto" w:fill="auto"/>
            <w:vAlign w:val="center"/>
          </w:tcPr>
          <w:p w14:paraId="74CAB7C9">
            <w:pPr>
              <w:widowControl/>
              <w:spacing w:line="320" w:lineRule="exact"/>
              <w:jc w:val="center"/>
              <w:rPr>
                <w:rFonts w:hint="eastAsia" w:ascii="黑体" w:hAnsi="宋体" w:eastAsia="黑体" w:cs="黑体"/>
                <w:color w:val="000000"/>
                <w:sz w:val="20"/>
                <w:szCs w:val="20"/>
              </w:rPr>
            </w:pPr>
          </w:p>
        </w:tc>
        <w:tc>
          <w:tcPr>
            <w:tcW w:w="662" w:type="pct"/>
            <w:vMerge w:val="continue"/>
            <w:shd w:val="clear" w:color="auto" w:fill="auto"/>
            <w:vAlign w:val="center"/>
          </w:tcPr>
          <w:p w14:paraId="09EFB455">
            <w:pPr>
              <w:widowControl/>
              <w:spacing w:line="320" w:lineRule="exact"/>
              <w:jc w:val="center"/>
              <w:rPr>
                <w:rFonts w:hint="eastAsia" w:ascii="黑体" w:hAnsi="宋体" w:eastAsia="黑体" w:cs="黑体"/>
                <w:color w:val="000000"/>
                <w:sz w:val="20"/>
                <w:szCs w:val="20"/>
              </w:rPr>
            </w:pPr>
          </w:p>
        </w:tc>
        <w:tc>
          <w:tcPr>
            <w:tcW w:w="3413" w:type="pct"/>
            <w:shd w:val="clear" w:color="auto" w:fill="auto"/>
            <w:vAlign w:val="center"/>
          </w:tcPr>
          <w:p w14:paraId="5F95F15D">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（二）山与城-竞品成交数据跟踪</w:t>
            </w:r>
          </w:p>
        </w:tc>
      </w:tr>
      <w:tr w14:paraId="4FF70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5" w:type="pct"/>
            <w:vMerge w:val="continue"/>
            <w:shd w:val="clear" w:color="auto" w:fill="auto"/>
            <w:vAlign w:val="center"/>
          </w:tcPr>
          <w:p w14:paraId="73BE262D">
            <w:pPr>
              <w:widowControl/>
              <w:spacing w:line="320" w:lineRule="exact"/>
              <w:jc w:val="center"/>
              <w:rPr>
                <w:rFonts w:hint="eastAsia" w:ascii="黑体" w:hAnsi="宋体" w:eastAsia="黑体" w:cs="黑体"/>
                <w:color w:val="000000"/>
                <w:sz w:val="20"/>
                <w:szCs w:val="20"/>
              </w:rPr>
            </w:pPr>
          </w:p>
        </w:tc>
        <w:tc>
          <w:tcPr>
            <w:tcW w:w="488" w:type="pct"/>
            <w:vMerge w:val="continue"/>
            <w:shd w:val="clear" w:color="auto" w:fill="auto"/>
            <w:vAlign w:val="center"/>
          </w:tcPr>
          <w:p w14:paraId="3C150115">
            <w:pPr>
              <w:widowControl/>
              <w:spacing w:line="320" w:lineRule="exact"/>
              <w:jc w:val="center"/>
              <w:rPr>
                <w:rFonts w:hint="eastAsia" w:ascii="黑体" w:hAnsi="宋体" w:eastAsia="黑体" w:cs="黑体"/>
                <w:color w:val="000000"/>
                <w:sz w:val="20"/>
                <w:szCs w:val="20"/>
              </w:rPr>
            </w:pPr>
          </w:p>
        </w:tc>
        <w:tc>
          <w:tcPr>
            <w:tcW w:w="662" w:type="pct"/>
            <w:vMerge w:val="continue"/>
            <w:shd w:val="clear" w:color="auto" w:fill="auto"/>
            <w:vAlign w:val="center"/>
          </w:tcPr>
          <w:p w14:paraId="71C37E3E">
            <w:pPr>
              <w:widowControl/>
              <w:spacing w:line="320" w:lineRule="exact"/>
              <w:jc w:val="center"/>
              <w:rPr>
                <w:rFonts w:hint="eastAsia" w:ascii="黑体" w:hAnsi="宋体" w:eastAsia="黑体" w:cs="黑体"/>
                <w:color w:val="000000"/>
                <w:sz w:val="20"/>
                <w:szCs w:val="20"/>
              </w:rPr>
            </w:pPr>
          </w:p>
        </w:tc>
        <w:tc>
          <w:tcPr>
            <w:tcW w:w="3413" w:type="pct"/>
            <w:shd w:val="clear" w:color="auto" w:fill="auto"/>
            <w:vAlign w:val="center"/>
          </w:tcPr>
          <w:p w14:paraId="67113345">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（三）贯金和府-竞品成交数据跟踪</w:t>
            </w:r>
          </w:p>
        </w:tc>
      </w:tr>
      <w:tr w14:paraId="270D7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5" w:type="pct"/>
            <w:vMerge w:val="continue"/>
            <w:shd w:val="clear" w:color="auto" w:fill="auto"/>
            <w:vAlign w:val="center"/>
          </w:tcPr>
          <w:p w14:paraId="7117D2D6">
            <w:pPr>
              <w:widowControl/>
              <w:spacing w:line="320" w:lineRule="exact"/>
              <w:jc w:val="center"/>
              <w:rPr>
                <w:rFonts w:hint="eastAsia" w:ascii="黑体" w:hAnsi="宋体" w:eastAsia="黑体" w:cs="黑体"/>
                <w:color w:val="000000"/>
                <w:sz w:val="20"/>
                <w:szCs w:val="20"/>
              </w:rPr>
            </w:pPr>
          </w:p>
        </w:tc>
        <w:tc>
          <w:tcPr>
            <w:tcW w:w="488" w:type="pct"/>
            <w:vMerge w:val="continue"/>
            <w:shd w:val="clear" w:color="auto" w:fill="auto"/>
            <w:vAlign w:val="center"/>
          </w:tcPr>
          <w:p w14:paraId="7EDF2614">
            <w:pPr>
              <w:widowControl/>
              <w:spacing w:line="320" w:lineRule="exact"/>
              <w:jc w:val="center"/>
              <w:rPr>
                <w:rFonts w:hint="eastAsia" w:ascii="黑体" w:hAnsi="宋体" w:eastAsia="黑体" w:cs="黑体"/>
                <w:color w:val="000000"/>
                <w:sz w:val="20"/>
                <w:szCs w:val="20"/>
              </w:rPr>
            </w:pPr>
          </w:p>
        </w:tc>
        <w:tc>
          <w:tcPr>
            <w:tcW w:w="662" w:type="pct"/>
            <w:vMerge w:val="continue"/>
            <w:shd w:val="clear" w:color="auto" w:fill="auto"/>
            <w:vAlign w:val="center"/>
          </w:tcPr>
          <w:p w14:paraId="48EE3120">
            <w:pPr>
              <w:widowControl/>
              <w:spacing w:line="320" w:lineRule="exact"/>
              <w:jc w:val="center"/>
              <w:rPr>
                <w:rFonts w:hint="eastAsia" w:ascii="黑体" w:hAnsi="宋体" w:eastAsia="黑体" w:cs="黑体"/>
                <w:color w:val="000000"/>
                <w:sz w:val="20"/>
                <w:szCs w:val="20"/>
              </w:rPr>
            </w:pPr>
          </w:p>
        </w:tc>
        <w:tc>
          <w:tcPr>
            <w:tcW w:w="3413" w:type="pct"/>
            <w:shd w:val="clear" w:color="auto" w:fill="auto"/>
            <w:vAlign w:val="center"/>
          </w:tcPr>
          <w:p w14:paraId="25CF819C">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（四）星河one/星河博棠-竞品成交数据跟踪</w:t>
            </w:r>
          </w:p>
        </w:tc>
      </w:tr>
      <w:tr w14:paraId="3FD9C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trPr>
        <w:tc>
          <w:tcPr>
            <w:tcW w:w="435" w:type="pct"/>
            <w:vMerge w:val="restart"/>
            <w:shd w:val="clear" w:color="auto" w:fill="auto"/>
            <w:vAlign w:val="center"/>
          </w:tcPr>
          <w:p w14:paraId="798ED58F">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2</w:t>
            </w:r>
          </w:p>
        </w:tc>
        <w:tc>
          <w:tcPr>
            <w:tcW w:w="488" w:type="pct"/>
            <w:vMerge w:val="restart"/>
            <w:shd w:val="clear" w:color="auto" w:fill="auto"/>
            <w:vAlign w:val="center"/>
          </w:tcPr>
          <w:p w14:paraId="4AA56B8D">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月度</w:t>
            </w:r>
          </w:p>
        </w:tc>
        <w:tc>
          <w:tcPr>
            <w:tcW w:w="662" w:type="pct"/>
            <w:vMerge w:val="restart"/>
            <w:shd w:val="clear" w:color="auto" w:fill="auto"/>
            <w:vAlign w:val="center"/>
          </w:tcPr>
          <w:p w14:paraId="4C780A7B">
            <w:pPr>
              <w:widowControl/>
              <w:spacing w:line="320" w:lineRule="exact"/>
              <w:jc w:val="center"/>
              <w:textAlignment w:val="center"/>
              <w:rPr>
                <w:rFonts w:hint="eastAsia"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普通月报</w:t>
            </w:r>
          </w:p>
          <w:p w14:paraId="62D44C89">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（5个）</w:t>
            </w:r>
          </w:p>
        </w:tc>
        <w:tc>
          <w:tcPr>
            <w:tcW w:w="3413" w:type="pct"/>
            <w:shd w:val="clear" w:color="auto" w:fill="auto"/>
            <w:vAlign w:val="center"/>
          </w:tcPr>
          <w:p w14:paraId="5E69B1FD">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（一）《月度重庆房地产市场研究报告》（PPT）</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1、宏观环境</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2、房产市场</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3、土地市场</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4、开盘监测</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5、营销动态</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6、总结预判</w:t>
            </w:r>
          </w:p>
        </w:tc>
      </w:tr>
      <w:tr w14:paraId="363F7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trPr>
        <w:tc>
          <w:tcPr>
            <w:tcW w:w="435" w:type="pct"/>
            <w:vMerge w:val="continue"/>
            <w:shd w:val="clear" w:color="auto" w:fill="auto"/>
            <w:vAlign w:val="center"/>
          </w:tcPr>
          <w:p w14:paraId="66C3DA9D">
            <w:pPr>
              <w:widowControl/>
              <w:spacing w:line="320" w:lineRule="exact"/>
              <w:jc w:val="center"/>
              <w:rPr>
                <w:rFonts w:hint="eastAsia" w:ascii="黑体" w:hAnsi="宋体" w:eastAsia="黑体" w:cs="黑体"/>
                <w:color w:val="000000"/>
                <w:sz w:val="20"/>
                <w:szCs w:val="20"/>
              </w:rPr>
            </w:pPr>
          </w:p>
        </w:tc>
        <w:tc>
          <w:tcPr>
            <w:tcW w:w="488" w:type="pct"/>
            <w:vMerge w:val="continue"/>
            <w:shd w:val="clear" w:color="auto" w:fill="auto"/>
            <w:vAlign w:val="center"/>
          </w:tcPr>
          <w:p w14:paraId="535C0ED8">
            <w:pPr>
              <w:widowControl/>
              <w:spacing w:line="320" w:lineRule="exact"/>
              <w:jc w:val="center"/>
              <w:rPr>
                <w:rFonts w:hint="eastAsia" w:ascii="黑体" w:hAnsi="宋体" w:eastAsia="黑体" w:cs="黑体"/>
                <w:color w:val="000000"/>
                <w:sz w:val="20"/>
                <w:szCs w:val="20"/>
              </w:rPr>
            </w:pPr>
          </w:p>
        </w:tc>
        <w:tc>
          <w:tcPr>
            <w:tcW w:w="662" w:type="pct"/>
            <w:vMerge w:val="continue"/>
            <w:shd w:val="clear" w:color="auto" w:fill="auto"/>
            <w:vAlign w:val="center"/>
          </w:tcPr>
          <w:p w14:paraId="70E87808">
            <w:pPr>
              <w:widowControl/>
              <w:spacing w:line="320" w:lineRule="exact"/>
              <w:jc w:val="center"/>
              <w:rPr>
                <w:rFonts w:hint="eastAsia" w:ascii="黑体" w:hAnsi="宋体" w:eastAsia="黑体" w:cs="黑体"/>
                <w:color w:val="000000"/>
                <w:sz w:val="20"/>
                <w:szCs w:val="20"/>
              </w:rPr>
            </w:pPr>
          </w:p>
        </w:tc>
        <w:tc>
          <w:tcPr>
            <w:tcW w:w="3413" w:type="pct"/>
            <w:shd w:val="clear" w:color="auto" w:fill="auto"/>
            <w:vAlign w:val="center"/>
          </w:tcPr>
          <w:p w14:paraId="39F83692">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（二）《月度重庆市房地产市场汇总报告》（Word）</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1、市场综述</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2、最新政策法规</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3、地产资讯汇编</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4、土地供应成交分析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5、新开盘（加推）综述</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6、商品房供应成交分析</w:t>
            </w:r>
          </w:p>
        </w:tc>
      </w:tr>
      <w:tr w14:paraId="48076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435" w:type="pct"/>
            <w:vMerge w:val="continue"/>
            <w:shd w:val="clear" w:color="auto" w:fill="auto"/>
            <w:vAlign w:val="center"/>
          </w:tcPr>
          <w:p w14:paraId="47D64869">
            <w:pPr>
              <w:widowControl/>
              <w:spacing w:line="320" w:lineRule="exact"/>
              <w:jc w:val="center"/>
              <w:rPr>
                <w:rFonts w:hint="eastAsia" w:ascii="黑体" w:hAnsi="宋体" w:eastAsia="黑体" w:cs="黑体"/>
                <w:color w:val="000000"/>
                <w:sz w:val="20"/>
                <w:szCs w:val="20"/>
              </w:rPr>
            </w:pPr>
          </w:p>
        </w:tc>
        <w:tc>
          <w:tcPr>
            <w:tcW w:w="488" w:type="pct"/>
            <w:vMerge w:val="continue"/>
            <w:shd w:val="clear" w:color="auto" w:fill="auto"/>
            <w:vAlign w:val="center"/>
          </w:tcPr>
          <w:p w14:paraId="3A41DD32">
            <w:pPr>
              <w:widowControl/>
              <w:spacing w:line="320" w:lineRule="exact"/>
              <w:jc w:val="center"/>
              <w:rPr>
                <w:rFonts w:hint="eastAsia" w:ascii="黑体" w:hAnsi="宋体" w:eastAsia="黑体" w:cs="黑体"/>
                <w:color w:val="000000"/>
                <w:sz w:val="20"/>
                <w:szCs w:val="20"/>
              </w:rPr>
            </w:pPr>
          </w:p>
        </w:tc>
        <w:tc>
          <w:tcPr>
            <w:tcW w:w="662" w:type="pct"/>
            <w:vMerge w:val="continue"/>
            <w:shd w:val="clear" w:color="auto" w:fill="auto"/>
            <w:vAlign w:val="center"/>
          </w:tcPr>
          <w:p w14:paraId="7B7CE818">
            <w:pPr>
              <w:widowControl/>
              <w:spacing w:line="320" w:lineRule="exact"/>
              <w:jc w:val="center"/>
              <w:rPr>
                <w:rFonts w:hint="eastAsia" w:ascii="黑体" w:hAnsi="宋体" w:eastAsia="黑体" w:cs="黑体"/>
                <w:color w:val="000000"/>
                <w:sz w:val="20"/>
                <w:szCs w:val="20"/>
              </w:rPr>
            </w:pPr>
          </w:p>
        </w:tc>
        <w:tc>
          <w:tcPr>
            <w:tcW w:w="3413" w:type="pct"/>
            <w:shd w:val="clear" w:color="auto" w:fill="auto"/>
            <w:vAlign w:val="center"/>
          </w:tcPr>
          <w:p w14:paraId="4756DE0A">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（三）《月度土地市场报告》（PPT）</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1、年度趋势</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2、成交结构</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3、月度供应分析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4、月度成交分析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5、下月土拍预告</w:t>
            </w:r>
          </w:p>
        </w:tc>
      </w:tr>
      <w:tr w14:paraId="48E2A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435" w:type="pct"/>
            <w:vMerge w:val="continue"/>
            <w:shd w:val="clear" w:color="auto" w:fill="auto"/>
            <w:vAlign w:val="center"/>
          </w:tcPr>
          <w:p w14:paraId="6D06BEB1">
            <w:pPr>
              <w:widowControl/>
              <w:spacing w:line="320" w:lineRule="exact"/>
              <w:jc w:val="center"/>
              <w:rPr>
                <w:rFonts w:hint="eastAsia" w:ascii="黑体" w:hAnsi="宋体" w:eastAsia="黑体" w:cs="黑体"/>
                <w:color w:val="000000"/>
                <w:sz w:val="20"/>
                <w:szCs w:val="20"/>
              </w:rPr>
            </w:pPr>
          </w:p>
        </w:tc>
        <w:tc>
          <w:tcPr>
            <w:tcW w:w="488" w:type="pct"/>
            <w:vMerge w:val="continue"/>
            <w:shd w:val="clear" w:color="auto" w:fill="auto"/>
            <w:vAlign w:val="center"/>
          </w:tcPr>
          <w:p w14:paraId="36FF5D83">
            <w:pPr>
              <w:widowControl/>
              <w:spacing w:line="320" w:lineRule="exact"/>
              <w:jc w:val="center"/>
              <w:rPr>
                <w:rFonts w:hint="eastAsia" w:ascii="黑体" w:hAnsi="宋体" w:eastAsia="黑体" w:cs="黑体"/>
                <w:color w:val="000000"/>
                <w:sz w:val="20"/>
                <w:szCs w:val="20"/>
              </w:rPr>
            </w:pPr>
          </w:p>
        </w:tc>
        <w:tc>
          <w:tcPr>
            <w:tcW w:w="662" w:type="pct"/>
            <w:vMerge w:val="continue"/>
            <w:shd w:val="clear" w:color="auto" w:fill="auto"/>
            <w:vAlign w:val="center"/>
          </w:tcPr>
          <w:p w14:paraId="33E580F0">
            <w:pPr>
              <w:widowControl/>
              <w:spacing w:line="320" w:lineRule="exact"/>
              <w:jc w:val="center"/>
              <w:rPr>
                <w:rFonts w:hint="eastAsia" w:ascii="黑体" w:hAnsi="宋体" w:eastAsia="黑体" w:cs="黑体"/>
                <w:color w:val="000000"/>
                <w:sz w:val="20"/>
                <w:szCs w:val="20"/>
              </w:rPr>
            </w:pPr>
          </w:p>
        </w:tc>
        <w:tc>
          <w:tcPr>
            <w:tcW w:w="3413" w:type="pct"/>
            <w:shd w:val="clear" w:color="auto" w:fill="auto"/>
            <w:vAlign w:val="center"/>
          </w:tcPr>
          <w:p w14:paraId="07B716CD">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（四）《月度商品房市场供应成交结构分析报告》（PPT）</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1、月度商品房市场综述</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2、月度商品房市场供需分析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3、月度商品房市场成交结构分析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4、月度商品房市场区域分析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5、月度业态市场分析</w:t>
            </w:r>
          </w:p>
        </w:tc>
      </w:tr>
      <w:tr w14:paraId="61CCD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435" w:type="pct"/>
            <w:vMerge w:val="continue"/>
            <w:shd w:val="clear" w:color="auto" w:fill="auto"/>
            <w:vAlign w:val="center"/>
          </w:tcPr>
          <w:p w14:paraId="4A42915E">
            <w:pPr>
              <w:widowControl/>
              <w:spacing w:line="320" w:lineRule="exact"/>
              <w:jc w:val="center"/>
              <w:rPr>
                <w:rFonts w:hint="eastAsia" w:ascii="黑体" w:hAnsi="宋体" w:eastAsia="黑体" w:cs="黑体"/>
                <w:color w:val="000000"/>
                <w:sz w:val="20"/>
                <w:szCs w:val="20"/>
              </w:rPr>
            </w:pPr>
          </w:p>
        </w:tc>
        <w:tc>
          <w:tcPr>
            <w:tcW w:w="488" w:type="pct"/>
            <w:vMerge w:val="continue"/>
            <w:shd w:val="clear" w:color="auto" w:fill="auto"/>
            <w:vAlign w:val="center"/>
          </w:tcPr>
          <w:p w14:paraId="6524470A">
            <w:pPr>
              <w:widowControl/>
              <w:spacing w:line="320" w:lineRule="exact"/>
              <w:jc w:val="center"/>
              <w:rPr>
                <w:rFonts w:hint="eastAsia" w:ascii="黑体" w:hAnsi="宋体" w:eastAsia="黑体" w:cs="黑体"/>
                <w:color w:val="000000"/>
                <w:sz w:val="20"/>
                <w:szCs w:val="20"/>
              </w:rPr>
            </w:pPr>
          </w:p>
        </w:tc>
        <w:tc>
          <w:tcPr>
            <w:tcW w:w="662" w:type="pct"/>
            <w:vMerge w:val="continue"/>
            <w:shd w:val="clear" w:color="auto" w:fill="auto"/>
            <w:vAlign w:val="center"/>
          </w:tcPr>
          <w:p w14:paraId="616E3861">
            <w:pPr>
              <w:widowControl/>
              <w:spacing w:line="320" w:lineRule="exact"/>
              <w:jc w:val="center"/>
              <w:rPr>
                <w:rFonts w:hint="eastAsia" w:ascii="黑体" w:hAnsi="宋体" w:eastAsia="黑体" w:cs="黑体"/>
                <w:color w:val="000000"/>
                <w:sz w:val="20"/>
                <w:szCs w:val="20"/>
              </w:rPr>
            </w:pPr>
          </w:p>
        </w:tc>
        <w:tc>
          <w:tcPr>
            <w:tcW w:w="3413" w:type="pct"/>
            <w:shd w:val="clear" w:color="auto" w:fill="auto"/>
            <w:vAlign w:val="center"/>
          </w:tcPr>
          <w:p w14:paraId="000E1EB8">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（五）《月度重庆城市及交通规划分析报告》（PPT）</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1、月度重庆城市及交通规划动态汇总</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2、月度规划、重大项目相关焦点资讯汇总</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3、本月主城区控制性规划详细调整信息汇总</w:t>
            </w:r>
          </w:p>
        </w:tc>
      </w:tr>
      <w:tr w14:paraId="7D4FA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435" w:type="pct"/>
            <w:vMerge w:val="continue"/>
            <w:shd w:val="clear" w:color="auto" w:fill="auto"/>
            <w:vAlign w:val="center"/>
          </w:tcPr>
          <w:p w14:paraId="129C3CD6">
            <w:pPr>
              <w:widowControl/>
              <w:spacing w:line="320" w:lineRule="exact"/>
              <w:jc w:val="center"/>
              <w:rPr>
                <w:rFonts w:hint="eastAsia" w:ascii="黑体" w:hAnsi="宋体" w:eastAsia="黑体" w:cs="黑体"/>
                <w:color w:val="000000"/>
                <w:sz w:val="20"/>
                <w:szCs w:val="20"/>
              </w:rPr>
            </w:pPr>
          </w:p>
        </w:tc>
        <w:tc>
          <w:tcPr>
            <w:tcW w:w="488" w:type="pct"/>
            <w:vMerge w:val="continue"/>
            <w:shd w:val="clear" w:color="auto" w:fill="auto"/>
            <w:vAlign w:val="center"/>
          </w:tcPr>
          <w:p w14:paraId="0E39346D">
            <w:pPr>
              <w:widowControl/>
              <w:spacing w:line="320" w:lineRule="exact"/>
              <w:jc w:val="center"/>
              <w:rPr>
                <w:rFonts w:hint="eastAsia" w:ascii="黑体" w:hAnsi="宋体" w:eastAsia="黑体" w:cs="黑体"/>
                <w:color w:val="000000"/>
                <w:sz w:val="20"/>
                <w:szCs w:val="20"/>
              </w:rPr>
            </w:pPr>
          </w:p>
        </w:tc>
        <w:tc>
          <w:tcPr>
            <w:tcW w:w="662" w:type="pct"/>
            <w:shd w:val="clear" w:color="auto" w:fill="auto"/>
            <w:vAlign w:val="center"/>
          </w:tcPr>
          <w:p w14:paraId="505BCDEF">
            <w:pPr>
              <w:widowControl/>
              <w:spacing w:line="320" w:lineRule="exact"/>
              <w:jc w:val="center"/>
              <w:textAlignment w:val="center"/>
              <w:rPr>
                <w:rFonts w:hint="eastAsia"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专属月报</w:t>
            </w:r>
          </w:p>
          <w:p w14:paraId="33902EB1">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（1个）</w:t>
            </w:r>
          </w:p>
        </w:tc>
        <w:tc>
          <w:tcPr>
            <w:tcW w:w="3413" w:type="pct"/>
            <w:shd w:val="clear" w:color="auto" w:fill="auto"/>
            <w:vAlign w:val="center"/>
          </w:tcPr>
          <w:p w14:paraId="20E978FF">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《渝开发-核心项目周边竞争格局分析》</w:t>
            </w:r>
          </w:p>
        </w:tc>
      </w:tr>
      <w:tr w14:paraId="03F21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435" w:type="pct"/>
            <w:vMerge w:val="continue"/>
            <w:shd w:val="clear" w:color="auto" w:fill="auto"/>
            <w:vAlign w:val="center"/>
          </w:tcPr>
          <w:p w14:paraId="49F86C0A">
            <w:pPr>
              <w:widowControl/>
              <w:spacing w:line="320" w:lineRule="exact"/>
              <w:jc w:val="center"/>
              <w:rPr>
                <w:rFonts w:hint="eastAsia" w:ascii="黑体" w:hAnsi="宋体" w:eastAsia="黑体" w:cs="黑体"/>
                <w:color w:val="000000"/>
                <w:sz w:val="20"/>
                <w:szCs w:val="20"/>
              </w:rPr>
            </w:pPr>
          </w:p>
        </w:tc>
        <w:tc>
          <w:tcPr>
            <w:tcW w:w="488" w:type="pct"/>
            <w:vMerge w:val="continue"/>
            <w:shd w:val="clear" w:color="auto" w:fill="auto"/>
            <w:vAlign w:val="center"/>
          </w:tcPr>
          <w:p w14:paraId="15C2894E">
            <w:pPr>
              <w:widowControl/>
              <w:spacing w:line="320" w:lineRule="exact"/>
              <w:jc w:val="center"/>
              <w:rPr>
                <w:rFonts w:hint="eastAsia" w:ascii="黑体" w:hAnsi="宋体" w:eastAsia="黑体" w:cs="黑体"/>
                <w:color w:val="000000"/>
                <w:sz w:val="20"/>
                <w:szCs w:val="20"/>
              </w:rPr>
            </w:pPr>
          </w:p>
        </w:tc>
        <w:tc>
          <w:tcPr>
            <w:tcW w:w="662" w:type="pct"/>
            <w:shd w:val="clear" w:color="auto" w:fill="auto"/>
            <w:vAlign w:val="center"/>
          </w:tcPr>
          <w:p w14:paraId="3D87C786">
            <w:pPr>
              <w:widowControl/>
              <w:spacing w:line="320" w:lineRule="exact"/>
              <w:jc w:val="center"/>
              <w:textAlignment w:val="center"/>
              <w:rPr>
                <w:rFonts w:hint="eastAsia"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企业专属定制杂志</w:t>
            </w:r>
          </w:p>
          <w:p w14:paraId="0C3A0E1F">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（9本）</w:t>
            </w:r>
          </w:p>
        </w:tc>
        <w:tc>
          <w:tcPr>
            <w:tcW w:w="3413" w:type="pct"/>
            <w:shd w:val="clear" w:color="auto" w:fill="auto"/>
            <w:vAlign w:val="center"/>
          </w:tcPr>
          <w:p w14:paraId="4B78C28F">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《重庆市房地产市场动态月报》</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1、华岩、茶园、南山、蔡家、台商农业园区、西永六大板块市场分析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2、重庆中心城区房地产市场分析</w:t>
            </w:r>
          </w:p>
        </w:tc>
      </w:tr>
      <w:tr w14:paraId="7170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trPr>
        <w:tc>
          <w:tcPr>
            <w:tcW w:w="435" w:type="pct"/>
            <w:shd w:val="clear" w:color="auto" w:fill="auto"/>
            <w:vAlign w:val="center"/>
          </w:tcPr>
          <w:p w14:paraId="4A2FD183">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3</w:t>
            </w:r>
          </w:p>
        </w:tc>
        <w:tc>
          <w:tcPr>
            <w:tcW w:w="488" w:type="pct"/>
            <w:shd w:val="clear" w:color="auto" w:fill="auto"/>
            <w:vAlign w:val="center"/>
          </w:tcPr>
          <w:p w14:paraId="7E7953F3">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季度</w:t>
            </w:r>
          </w:p>
        </w:tc>
        <w:tc>
          <w:tcPr>
            <w:tcW w:w="662" w:type="pct"/>
            <w:shd w:val="clear" w:color="auto" w:fill="auto"/>
            <w:vAlign w:val="center"/>
          </w:tcPr>
          <w:p w14:paraId="77440293">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专属季报</w:t>
            </w:r>
          </w:p>
        </w:tc>
        <w:tc>
          <w:tcPr>
            <w:tcW w:w="3413" w:type="pct"/>
            <w:shd w:val="clear" w:color="auto" w:fill="auto"/>
            <w:vAlign w:val="center"/>
          </w:tcPr>
          <w:p w14:paraId="0D827A06">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《重庆市场分析及五大竞品板块分析报告》</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1、宏观政策、经济环境</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2、新房市场分析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3、二手房市场分析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4、土地市场分析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5、中心城区项目开盘监测</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7、五大竞品板块分析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8、趋势预测</w:t>
            </w:r>
          </w:p>
        </w:tc>
      </w:tr>
      <w:tr w14:paraId="78170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trPr>
        <w:tc>
          <w:tcPr>
            <w:tcW w:w="435" w:type="pct"/>
            <w:shd w:val="clear" w:color="auto" w:fill="auto"/>
            <w:vAlign w:val="center"/>
          </w:tcPr>
          <w:p w14:paraId="48C77D52">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4</w:t>
            </w:r>
          </w:p>
        </w:tc>
        <w:tc>
          <w:tcPr>
            <w:tcW w:w="488" w:type="pct"/>
            <w:shd w:val="clear" w:color="auto" w:fill="auto"/>
            <w:vAlign w:val="center"/>
          </w:tcPr>
          <w:p w14:paraId="0E0DE298">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年度</w:t>
            </w:r>
          </w:p>
        </w:tc>
        <w:tc>
          <w:tcPr>
            <w:tcW w:w="662" w:type="pct"/>
            <w:shd w:val="clear" w:color="auto" w:fill="auto"/>
            <w:vAlign w:val="center"/>
          </w:tcPr>
          <w:p w14:paraId="5BA5A20F">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专属年报</w:t>
            </w:r>
          </w:p>
        </w:tc>
        <w:tc>
          <w:tcPr>
            <w:tcW w:w="3413" w:type="pct"/>
            <w:shd w:val="clear" w:color="auto" w:fill="auto"/>
            <w:vAlign w:val="center"/>
          </w:tcPr>
          <w:p w14:paraId="7AB16BF1">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《重庆市场分析及五大竞品板块分析报告》</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1、宏观政策、经济环境</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2、新房市场分析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3、二手房市场分析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4、土地市场分析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5、中心城区项目开盘监测</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7、五大竞品板块分析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8、趋势预测</w:t>
            </w:r>
          </w:p>
        </w:tc>
      </w:tr>
      <w:tr w14:paraId="1612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435" w:type="pct"/>
            <w:vMerge w:val="restart"/>
            <w:shd w:val="clear" w:color="auto" w:fill="auto"/>
            <w:vAlign w:val="center"/>
          </w:tcPr>
          <w:p w14:paraId="6C303636">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5</w:t>
            </w:r>
          </w:p>
        </w:tc>
        <w:tc>
          <w:tcPr>
            <w:tcW w:w="488" w:type="pct"/>
            <w:vMerge w:val="restart"/>
            <w:shd w:val="clear" w:color="auto" w:fill="auto"/>
            <w:vAlign w:val="center"/>
          </w:tcPr>
          <w:p w14:paraId="1AD72CC2">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土地可研服务</w:t>
            </w:r>
          </w:p>
        </w:tc>
        <w:tc>
          <w:tcPr>
            <w:tcW w:w="662" w:type="pct"/>
            <w:shd w:val="clear" w:color="auto" w:fill="auto"/>
            <w:vAlign w:val="center"/>
          </w:tcPr>
          <w:p w14:paraId="158C17DC">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报告类</w:t>
            </w:r>
          </w:p>
        </w:tc>
        <w:tc>
          <w:tcPr>
            <w:tcW w:w="3413" w:type="pct"/>
            <w:shd w:val="clear" w:color="auto" w:fill="auto"/>
            <w:vAlign w:val="center"/>
          </w:tcPr>
          <w:p w14:paraId="79A7C399">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《地块定位初判报告》每年5-10个</w:t>
            </w:r>
          </w:p>
        </w:tc>
      </w:tr>
      <w:tr w14:paraId="37C6A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1" w:hRule="atLeast"/>
        </w:trPr>
        <w:tc>
          <w:tcPr>
            <w:tcW w:w="435" w:type="pct"/>
            <w:vMerge w:val="continue"/>
            <w:shd w:val="clear" w:color="auto" w:fill="auto"/>
            <w:vAlign w:val="center"/>
          </w:tcPr>
          <w:p w14:paraId="03312E52">
            <w:pPr>
              <w:widowControl/>
              <w:spacing w:line="320" w:lineRule="exact"/>
              <w:jc w:val="center"/>
              <w:rPr>
                <w:rFonts w:hint="eastAsia" w:ascii="黑体" w:hAnsi="宋体" w:eastAsia="黑体" w:cs="黑体"/>
                <w:color w:val="000000"/>
                <w:sz w:val="20"/>
                <w:szCs w:val="20"/>
              </w:rPr>
            </w:pPr>
          </w:p>
        </w:tc>
        <w:tc>
          <w:tcPr>
            <w:tcW w:w="488" w:type="pct"/>
            <w:vMerge w:val="continue"/>
            <w:shd w:val="clear" w:color="auto" w:fill="auto"/>
            <w:vAlign w:val="center"/>
          </w:tcPr>
          <w:p w14:paraId="3BBC0260">
            <w:pPr>
              <w:widowControl/>
              <w:spacing w:line="320" w:lineRule="exact"/>
              <w:jc w:val="center"/>
              <w:rPr>
                <w:rFonts w:hint="eastAsia" w:ascii="黑体" w:hAnsi="宋体" w:eastAsia="黑体" w:cs="黑体"/>
                <w:color w:val="000000"/>
                <w:sz w:val="20"/>
                <w:szCs w:val="20"/>
              </w:rPr>
            </w:pPr>
          </w:p>
        </w:tc>
        <w:tc>
          <w:tcPr>
            <w:tcW w:w="662" w:type="pct"/>
            <w:shd w:val="clear" w:color="auto" w:fill="auto"/>
            <w:vAlign w:val="center"/>
          </w:tcPr>
          <w:p w14:paraId="5C736FFD">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配合服务</w:t>
            </w:r>
          </w:p>
        </w:tc>
        <w:tc>
          <w:tcPr>
            <w:tcW w:w="3413" w:type="pct"/>
            <w:shd w:val="clear" w:color="auto" w:fill="auto"/>
            <w:vAlign w:val="center"/>
          </w:tcPr>
          <w:p w14:paraId="5ABD2C75">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1、根据比选人需求，提供重庆市主城区以外区域（含重庆区县及市外城市）满足可行性分析需求的土地、商品房市场数据咨询服务；</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2、针对比选人进入可研阶段的项目，提供满足比选人土地获取类项目可研报告模板深度要求的市场分析部分内容；</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3、数据类服务，应包含土地、商品房市场的各业态历年数据，历史变化趋势及未来一定时限内的变动预测，最好能按项目按需提供租赁市场数据；</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4、土地集中供地信息方面，应在正式公告前提供年度及每批次土地集中供地信息；</w:t>
            </w:r>
          </w:p>
        </w:tc>
      </w:tr>
      <w:tr w14:paraId="7C720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3" w:hRule="atLeast"/>
        </w:trPr>
        <w:tc>
          <w:tcPr>
            <w:tcW w:w="435" w:type="pct"/>
            <w:vMerge w:val="restart"/>
            <w:shd w:val="clear" w:color="auto" w:fill="auto"/>
            <w:vAlign w:val="center"/>
          </w:tcPr>
          <w:p w14:paraId="4BF47208">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6</w:t>
            </w:r>
          </w:p>
        </w:tc>
        <w:tc>
          <w:tcPr>
            <w:tcW w:w="488" w:type="pct"/>
            <w:vMerge w:val="restart"/>
            <w:shd w:val="clear" w:color="auto" w:fill="auto"/>
            <w:vAlign w:val="center"/>
          </w:tcPr>
          <w:p w14:paraId="5CA19FC8">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二手房、车库及商业市场服务</w:t>
            </w:r>
          </w:p>
        </w:tc>
        <w:tc>
          <w:tcPr>
            <w:tcW w:w="662" w:type="pct"/>
            <w:shd w:val="clear" w:color="auto" w:fill="auto"/>
            <w:vAlign w:val="center"/>
          </w:tcPr>
          <w:p w14:paraId="4A18F030">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二手房</w:t>
            </w:r>
          </w:p>
        </w:tc>
        <w:tc>
          <w:tcPr>
            <w:tcW w:w="3413" w:type="pct"/>
            <w:shd w:val="clear" w:color="auto" w:fill="auto"/>
            <w:vAlign w:val="center"/>
          </w:tcPr>
          <w:p w14:paraId="08A17D33">
            <w:pPr>
              <w:widowControl/>
              <w:numPr>
                <w:ilvl w:val="0"/>
                <w:numId w:val="4"/>
              </w:numPr>
              <w:spacing w:line="320" w:lineRule="exact"/>
              <w:jc w:val="left"/>
              <w:textAlignment w:val="center"/>
              <w:rPr>
                <w:rFonts w:hint="eastAsia"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重庆市中心城区二手房市场查询及报告撰写服务（可根据需求服务）</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1、市场供应及存量规模分析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3、存量</w:t>
            </w:r>
          </w:p>
          <w:p w14:paraId="1EDEB840">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2、月度存量可售规模分析结构分析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4、市场成交分析市场特征分析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a.市场供应：新增房源和新增客源比例和数量分析、新增挂牌价格及客户预期分析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b.市场成交：套均面积和套均总价趋势分析、溢价空间分析、客户成交周期分析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c.带看情况分析：带看客源量走势</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d.客户画像：年龄层面客户占比、客户所属区域占比</w:t>
            </w:r>
          </w:p>
        </w:tc>
      </w:tr>
      <w:tr w14:paraId="6DB87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435" w:type="pct"/>
            <w:vMerge w:val="continue"/>
            <w:shd w:val="clear" w:color="auto" w:fill="auto"/>
            <w:vAlign w:val="center"/>
          </w:tcPr>
          <w:p w14:paraId="28AEC048">
            <w:pPr>
              <w:widowControl/>
              <w:spacing w:line="320" w:lineRule="exact"/>
              <w:jc w:val="center"/>
              <w:rPr>
                <w:rFonts w:hint="eastAsia" w:ascii="黑体" w:hAnsi="宋体" w:eastAsia="黑体" w:cs="黑体"/>
                <w:color w:val="000000"/>
                <w:sz w:val="20"/>
                <w:szCs w:val="20"/>
              </w:rPr>
            </w:pPr>
          </w:p>
        </w:tc>
        <w:tc>
          <w:tcPr>
            <w:tcW w:w="488" w:type="pct"/>
            <w:vMerge w:val="continue"/>
            <w:shd w:val="clear" w:color="auto" w:fill="auto"/>
            <w:vAlign w:val="center"/>
          </w:tcPr>
          <w:p w14:paraId="33D7C4CB">
            <w:pPr>
              <w:widowControl/>
              <w:spacing w:line="320" w:lineRule="exact"/>
              <w:jc w:val="center"/>
              <w:rPr>
                <w:rFonts w:hint="eastAsia" w:ascii="黑体" w:hAnsi="宋体" w:eastAsia="黑体" w:cs="黑体"/>
                <w:color w:val="000000"/>
                <w:sz w:val="20"/>
                <w:szCs w:val="20"/>
              </w:rPr>
            </w:pPr>
          </w:p>
        </w:tc>
        <w:tc>
          <w:tcPr>
            <w:tcW w:w="662" w:type="pct"/>
            <w:shd w:val="clear" w:color="auto" w:fill="auto"/>
            <w:vAlign w:val="center"/>
          </w:tcPr>
          <w:p w14:paraId="1DA46E1F">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车库及商业市场</w:t>
            </w:r>
          </w:p>
        </w:tc>
        <w:tc>
          <w:tcPr>
            <w:tcW w:w="3413" w:type="pct"/>
            <w:shd w:val="clear" w:color="auto" w:fill="auto"/>
            <w:vAlign w:val="center"/>
          </w:tcPr>
          <w:p w14:paraId="7A4F30B3">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（二）重庆市中心城区车库及商业市场数据查询及报告撰写服务（可根据需求服务）</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(1)市场供应及成交规模分析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(2)月度存量可售规模分析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(3)存量结构分析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(4)指定项目供求分析</w:t>
            </w:r>
          </w:p>
        </w:tc>
      </w:tr>
      <w:tr w14:paraId="75762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5" w:type="pct"/>
            <w:shd w:val="clear" w:color="auto" w:fill="auto"/>
            <w:vAlign w:val="center"/>
          </w:tcPr>
          <w:p w14:paraId="413F2483">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7</w:t>
            </w:r>
          </w:p>
        </w:tc>
        <w:tc>
          <w:tcPr>
            <w:tcW w:w="488" w:type="pct"/>
            <w:shd w:val="clear" w:color="auto" w:fill="auto"/>
            <w:vAlign w:val="center"/>
          </w:tcPr>
          <w:p w14:paraId="2EBA4AAA">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重庆区县</w:t>
            </w:r>
          </w:p>
        </w:tc>
        <w:tc>
          <w:tcPr>
            <w:tcW w:w="662" w:type="pct"/>
            <w:shd w:val="clear" w:color="auto" w:fill="auto"/>
            <w:vAlign w:val="center"/>
          </w:tcPr>
          <w:p w14:paraId="7C756F5B">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新房数据</w:t>
            </w:r>
          </w:p>
        </w:tc>
        <w:tc>
          <w:tcPr>
            <w:tcW w:w="3413" w:type="pct"/>
            <w:shd w:val="clear" w:color="auto" w:fill="auto"/>
            <w:vAlign w:val="center"/>
          </w:tcPr>
          <w:p w14:paraId="5F1BF902">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重庆各区县新房数据，涵盖月度成交数据、业态成交数据、项目成交数据</w:t>
            </w:r>
          </w:p>
        </w:tc>
      </w:tr>
      <w:tr w14:paraId="70A25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5" w:type="pct"/>
            <w:shd w:val="clear" w:color="auto" w:fill="auto"/>
            <w:vAlign w:val="center"/>
          </w:tcPr>
          <w:p w14:paraId="2C72AC16">
            <w:pPr>
              <w:widowControl/>
              <w:spacing w:line="320" w:lineRule="exact"/>
              <w:jc w:val="center"/>
              <w:textAlignment w:val="center"/>
              <w:rPr>
                <w:rFonts w:hint="eastAsia"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8</w:t>
            </w:r>
          </w:p>
        </w:tc>
        <w:tc>
          <w:tcPr>
            <w:tcW w:w="488" w:type="pct"/>
            <w:shd w:val="clear" w:color="auto" w:fill="auto"/>
            <w:vAlign w:val="center"/>
          </w:tcPr>
          <w:p w14:paraId="00B2057B">
            <w:pPr>
              <w:widowControl/>
              <w:spacing w:line="320" w:lineRule="exact"/>
              <w:jc w:val="left"/>
              <w:textAlignment w:val="center"/>
              <w:rPr>
                <w:rFonts w:hint="eastAsia"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其他城市数据</w:t>
            </w:r>
          </w:p>
        </w:tc>
        <w:tc>
          <w:tcPr>
            <w:tcW w:w="662" w:type="pct"/>
            <w:shd w:val="clear" w:color="auto" w:fill="auto"/>
            <w:vAlign w:val="center"/>
          </w:tcPr>
          <w:p w14:paraId="1865725E">
            <w:pPr>
              <w:widowControl/>
              <w:spacing w:line="320" w:lineRule="exact"/>
              <w:jc w:val="left"/>
              <w:textAlignment w:val="center"/>
              <w:rPr>
                <w:rFonts w:hint="eastAsia"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市场资料</w:t>
            </w:r>
          </w:p>
        </w:tc>
        <w:tc>
          <w:tcPr>
            <w:tcW w:w="3413" w:type="pct"/>
            <w:shd w:val="clear" w:color="auto" w:fill="auto"/>
            <w:vAlign w:val="center"/>
          </w:tcPr>
          <w:p w14:paraId="1D99A1E8">
            <w:pPr>
              <w:widowControl/>
              <w:spacing w:line="320" w:lineRule="exact"/>
              <w:jc w:val="left"/>
              <w:textAlignment w:val="center"/>
              <w:rPr>
                <w:rFonts w:hint="eastAsia"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对甲方有数据、市场资料需求的其他城市，进行资料收集的深度配合</w:t>
            </w:r>
          </w:p>
        </w:tc>
      </w:tr>
      <w:tr w14:paraId="5F38C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435" w:type="pct"/>
            <w:vMerge w:val="restart"/>
            <w:shd w:val="clear" w:color="auto" w:fill="auto"/>
            <w:vAlign w:val="center"/>
          </w:tcPr>
          <w:p w14:paraId="0EC6AD5B">
            <w:pPr>
              <w:widowControl/>
              <w:spacing w:line="320" w:lineRule="exact"/>
              <w:jc w:val="center"/>
              <w:textAlignment w:val="center"/>
              <w:rPr>
                <w:rFonts w:hint="eastAsia"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9</w:t>
            </w:r>
          </w:p>
        </w:tc>
        <w:tc>
          <w:tcPr>
            <w:tcW w:w="488" w:type="pct"/>
            <w:vMerge w:val="restart"/>
            <w:shd w:val="clear" w:color="auto" w:fill="auto"/>
            <w:vAlign w:val="center"/>
          </w:tcPr>
          <w:p w14:paraId="29E69DD0">
            <w:pPr>
              <w:widowControl/>
              <w:spacing w:line="320" w:lineRule="exact"/>
              <w:jc w:val="center"/>
              <w:textAlignment w:val="center"/>
              <w:rPr>
                <w:rFonts w:hint="eastAsia"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咨询服务</w:t>
            </w:r>
          </w:p>
        </w:tc>
        <w:tc>
          <w:tcPr>
            <w:tcW w:w="662" w:type="pct"/>
            <w:shd w:val="clear" w:color="auto" w:fill="auto"/>
            <w:vAlign w:val="center"/>
          </w:tcPr>
          <w:p w14:paraId="1E9AF48B">
            <w:pPr>
              <w:widowControl/>
              <w:spacing w:line="320" w:lineRule="exact"/>
              <w:jc w:val="left"/>
              <w:textAlignment w:val="center"/>
              <w:rPr>
                <w:rFonts w:hint="eastAsia"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主力在售项目（4个）</w:t>
            </w:r>
          </w:p>
        </w:tc>
        <w:tc>
          <w:tcPr>
            <w:tcW w:w="3413" w:type="pct"/>
            <w:shd w:val="clear" w:color="auto" w:fill="auto"/>
            <w:vAlign w:val="center"/>
          </w:tcPr>
          <w:p w14:paraId="5992CD67">
            <w:pPr>
              <w:widowControl/>
              <w:spacing w:line="320" w:lineRule="exact"/>
              <w:jc w:val="left"/>
              <w:textAlignment w:val="center"/>
              <w:rPr>
                <w:rFonts w:hint="eastAsia"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每周每个项目（南樾天宸、山与城、贯金和府、星河one）3-5次提问服务，内容包括但不限于各项目所在区域的商品房市场监测、竞争项目成交情况、竞争项目营销动作监控、竞争项目推售节奏</w:t>
            </w:r>
          </w:p>
        </w:tc>
      </w:tr>
      <w:tr w14:paraId="63BCB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435" w:type="pct"/>
            <w:vMerge w:val="continue"/>
            <w:shd w:val="clear" w:color="auto" w:fill="auto"/>
            <w:vAlign w:val="center"/>
          </w:tcPr>
          <w:p w14:paraId="780FD779">
            <w:pPr>
              <w:widowControl/>
              <w:spacing w:line="320" w:lineRule="exact"/>
              <w:jc w:val="left"/>
              <w:textAlignment w:val="center"/>
              <w:rPr>
                <w:rFonts w:hint="eastAsia" w:ascii="黑体" w:hAnsi="宋体" w:eastAsia="黑体" w:cs="黑体"/>
                <w:color w:val="000000"/>
                <w:kern w:val="0"/>
                <w:sz w:val="20"/>
                <w:szCs w:val="20"/>
                <w:lang w:bidi="ar"/>
              </w:rPr>
            </w:pPr>
          </w:p>
        </w:tc>
        <w:tc>
          <w:tcPr>
            <w:tcW w:w="488" w:type="pct"/>
            <w:vMerge w:val="continue"/>
            <w:shd w:val="clear" w:color="auto" w:fill="auto"/>
            <w:vAlign w:val="center"/>
          </w:tcPr>
          <w:p w14:paraId="0A09F146">
            <w:pPr>
              <w:widowControl/>
              <w:spacing w:line="320" w:lineRule="exact"/>
              <w:jc w:val="left"/>
              <w:textAlignment w:val="center"/>
              <w:rPr>
                <w:rFonts w:hint="eastAsia" w:ascii="黑体" w:hAnsi="宋体" w:eastAsia="黑体" w:cs="黑体"/>
                <w:color w:val="000000"/>
                <w:kern w:val="0"/>
                <w:sz w:val="20"/>
                <w:szCs w:val="20"/>
                <w:lang w:bidi="ar"/>
              </w:rPr>
            </w:pPr>
          </w:p>
        </w:tc>
        <w:tc>
          <w:tcPr>
            <w:tcW w:w="662" w:type="pct"/>
            <w:shd w:val="clear" w:color="auto" w:fill="auto"/>
            <w:vAlign w:val="center"/>
          </w:tcPr>
          <w:p w14:paraId="5887911D">
            <w:pPr>
              <w:widowControl/>
              <w:spacing w:line="320" w:lineRule="exact"/>
              <w:jc w:val="left"/>
              <w:textAlignment w:val="center"/>
              <w:rPr>
                <w:rFonts w:hint="eastAsia"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渝开发公司其他部门</w:t>
            </w:r>
          </w:p>
        </w:tc>
        <w:tc>
          <w:tcPr>
            <w:tcW w:w="3413" w:type="pct"/>
            <w:shd w:val="clear" w:color="auto" w:fill="auto"/>
            <w:vAlign w:val="center"/>
          </w:tcPr>
          <w:p w14:paraId="0AA1DF62">
            <w:pPr>
              <w:widowControl/>
              <w:spacing w:line="320" w:lineRule="exact"/>
              <w:jc w:val="left"/>
              <w:textAlignment w:val="center"/>
              <w:rPr>
                <w:rFonts w:hint="eastAsia"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市场数据咨询服务（按渝开发公司需求提供服务）</w:t>
            </w:r>
          </w:p>
        </w:tc>
      </w:tr>
      <w:tr w14:paraId="1E825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5" w:type="pct"/>
            <w:vMerge w:val="restart"/>
            <w:shd w:val="clear" w:color="auto" w:fill="auto"/>
            <w:vAlign w:val="center"/>
          </w:tcPr>
          <w:p w14:paraId="1717749B">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10</w:t>
            </w:r>
          </w:p>
        </w:tc>
        <w:tc>
          <w:tcPr>
            <w:tcW w:w="488" w:type="pct"/>
            <w:vMerge w:val="restart"/>
            <w:shd w:val="clear" w:color="auto" w:fill="auto"/>
            <w:vAlign w:val="center"/>
          </w:tcPr>
          <w:p w14:paraId="623462C5">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数据库系统</w:t>
            </w:r>
          </w:p>
        </w:tc>
        <w:tc>
          <w:tcPr>
            <w:tcW w:w="662" w:type="pct"/>
            <w:vMerge w:val="restart"/>
            <w:shd w:val="clear" w:color="auto" w:fill="auto"/>
            <w:vAlign w:val="center"/>
          </w:tcPr>
          <w:p w14:paraId="23D7A276">
            <w:pPr>
              <w:widowControl/>
              <w:spacing w:line="320" w:lineRule="exact"/>
              <w:textAlignment w:val="center"/>
              <w:rPr>
                <w:rFonts w:hint="eastAsia"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数据库</w:t>
            </w:r>
          </w:p>
          <w:p w14:paraId="55549E9D">
            <w:pPr>
              <w:widowControl/>
              <w:spacing w:line="320" w:lineRule="exac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5个账号</w:t>
            </w:r>
          </w:p>
        </w:tc>
        <w:tc>
          <w:tcPr>
            <w:tcW w:w="3413" w:type="pct"/>
            <w:shd w:val="clear" w:color="auto" w:fill="auto"/>
            <w:vAlign w:val="center"/>
          </w:tcPr>
          <w:p w14:paraId="03E123EF">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（一）土地市场供应成交数据查询</w:t>
            </w:r>
          </w:p>
        </w:tc>
      </w:tr>
      <w:tr w14:paraId="23C58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5" w:type="pct"/>
            <w:vMerge w:val="continue"/>
            <w:shd w:val="clear" w:color="auto" w:fill="auto"/>
            <w:vAlign w:val="center"/>
          </w:tcPr>
          <w:p w14:paraId="15E2BBC9">
            <w:pPr>
              <w:widowControl/>
              <w:spacing w:line="320" w:lineRule="exact"/>
              <w:jc w:val="center"/>
              <w:rPr>
                <w:rFonts w:hint="eastAsia" w:ascii="黑体" w:hAnsi="宋体" w:eastAsia="黑体" w:cs="黑体"/>
                <w:color w:val="000000"/>
                <w:sz w:val="20"/>
                <w:szCs w:val="20"/>
              </w:rPr>
            </w:pPr>
          </w:p>
        </w:tc>
        <w:tc>
          <w:tcPr>
            <w:tcW w:w="488" w:type="pct"/>
            <w:vMerge w:val="continue"/>
            <w:shd w:val="clear" w:color="auto" w:fill="auto"/>
            <w:vAlign w:val="center"/>
          </w:tcPr>
          <w:p w14:paraId="036DC899">
            <w:pPr>
              <w:widowControl/>
              <w:spacing w:line="320" w:lineRule="exact"/>
              <w:jc w:val="center"/>
              <w:rPr>
                <w:rFonts w:hint="eastAsia" w:ascii="黑体" w:hAnsi="宋体" w:eastAsia="黑体" w:cs="黑体"/>
                <w:color w:val="000000"/>
                <w:sz w:val="20"/>
                <w:szCs w:val="20"/>
              </w:rPr>
            </w:pPr>
          </w:p>
        </w:tc>
        <w:tc>
          <w:tcPr>
            <w:tcW w:w="662" w:type="pct"/>
            <w:vMerge w:val="continue"/>
            <w:shd w:val="clear" w:color="auto" w:fill="auto"/>
            <w:vAlign w:val="center"/>
          </w:tcPr>
          <w:p w14:paraId="6141FFFF">
            <w:pPr>
              <w:widowControl/>
              <w:spacing w:line="320" w:lineRule="exact"/>
              <w:jc w:val="center"/>
              <w:rPr>
                <w:rFonts w:hint="eastAsia" w:ascii="黑体" w:hAnsi="宋体" w:eastAsia="黑体" w:cs="黑体"/>
                <w:color w:val="000000"/>
                <w:sz w:val="20"/>
                <w:szCs w:val="20"/>
              </w:rPr>
            </w:pPr>
          </w:p>
        </w:tc>
        <w:tc>
          <w:tcPr>
            <w:tcW w:w="3413" w:type="pct"/>
            <w:shd w:val="clear" w:color="auto" w:fill="auto"/>
            <w:vAlign w:val="center"/>
          </w:tcPr>
          <w:p w14:paraId="7753479A">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（二）商品房市场供应成交库存数据查询</w:t>
            </w:r>
          </w:p>
        </w:tc>
      </w:tr>
      <w:tr w14:paraId="57ACD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435" w:type="pct"/>
            <w:vMerge w:val="continue"/>
            <w:shd w:val="clear" w:color="auto" w:fill="auto"/>
            <w:vAlign w:val="center"/>
          </w:tcPr>
          <w:p w14:paraId="574AC404">
            <w:pPr>
              <w:widowControl/>
              <w:spacing w:line="320" w:lineRule="exact"/>
              <w:jc w:val="center"/>
              <w:rPr>
                <w:rFonts w:hint="eastAsia" w:ascii="黑体" w:hAnsi="宋体" w:eastAsia="黑体" w:cs="黑体"/>
                <w:color w:val="000000"/>
                <w:sz w:val="20"/>
                <w:szCs w:val="20"/>
              </w:rPr>
            </w:pPr>
          </w:p>
        </w:tc>
        <w:tc>
          <w:tcPr>
            <w:tcW w:w="488" w:type="pct"/>
            <w:vMerge w:val="continue"/>
            <w:shd w:val="clear" w:color="auto" w:fill="auto"/>
            <w:vAlign w:val="center"/>
          </w:tcPr>
          <w:p w14:paraId="75661930">
            <w:pPr>
              <w:widowControl/>
              <w:spacing w:line="320" w:lineRule="exact"/>
              <w:jc w:val="center"/>
              <w:rPr>
                <w:rFonts w:hint="eastAsia" w:ascii="黑体" w:hAnsi="宋体" w:eastAsia="黑体" w:cs="黑体"/>
                <w:color w:val="000000"/>
                <w:sz w:val="20"/>
                <w:szCs w:val="20"/>
              </w:rPr>
            </w:pPr>
          </w:p>
        </w:tc>
        <w:tc>
          <w:tcPr>
            <w:tcW w:w="662" w:type="pct"/>
            <w:vMerge w:val="continue"/>
            <w:shd w:val="clear" w:color="auto" w:fill="auto"/>
            <w:vAlign w:val="center"/>
          </w:tcPr>
          <w:p w14:paraId="244E94E7">
            <w:pPr>
              <w:widowControl/>
              <w:spacing w:line="320" w:lineRule="exact"/>
              <w:jc w:val="center"/>
              <w:rPr>
                <w:rFonts w:hint="eastAsia" w:ascii="黑体" w:hAnsi="宋体" w:eastAsia="黑体" w:cs="黑体"/>
                <w:color w:val="000000"/>
                <w:sz w:val="20"/>
                <w:szCs w:val="20"/>
              </w:rPr>
            </w:pPr>
          </w:p>
        </w:tc>
        <w:tc>
          <w:tcPr>
            <w:tcW w:w="3413" w:type="pct"/>
            <w:shd w:val="clear" w:color="auto" w:fill="auto"/>
            <w:vAlign w:val="center"/>
          </w:tcPr>
          <w:p w14:paraId="630FE309">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（三）二手房市场数据查询</w:t>
            </w:r>
          </w:p>
        </w:tc>
      </w:tr>
    </w:tbl>
    <w:p w14:paraId="505EDA4E">
      <w:pPr>
        <w:adjustRightInd w:val="0"/>
        <w:snapToGrid w:val="0"/>
        <w:spacing w:line="360" w:lineRule="auto"/>
        <w:rPr>
          <w:rFonts w:hint="eastAsia" w:ascii="宋体" w:hAnsi="宋体" w:cs="宋体"/>
          <w:b/>
          <w:sz w:val="44"/>
          <w:szCs w:val="44"/>
        </w:rPr>
      </w:pPr>
    </w:p>
    <w:p w14:paraId="4C37E961">
      <w:pPr>
        <w:adjustRightInd w:val="0"/>
        <w:snapToGrid w:val="0"/>
        <w:spacing w:line="360" w:lineRule="auto"/>
        <w:jc w:val="center"/>
        <w:rPr>
          <w:rFonts w:hint="eastAsia" w:ascii="宋体" w:hAnsi="宋体" w:cs="宋体"/>
          <w:b/>
          <w:sz w:val="44"/>
          <w:szCs w:val="44"/>
        </w:rPr>
      </w:pPr>
    </w:p>
    <w:p w14:paraId="112986F9">
      <w:pPr>
        <w:adjustRightInd w:val="0"/>
        <w:snapToGrid w:val="0"/>
        <w:spacing w:line="360" w:lineRule="auto"/>
        <w:jc w:val="center"/>
        <w:rPr>
          <w:rFonts w:hint="eastAsia" w:ascii="宋体" w:hAnsi="宋体" w:cs="宋体"/>
          <w:b/>
          <w:sz w:val="44"/>
          <w:szCs w:val="44"/>
        </w:rPr>
      </w:pPr>
    </w:p>
    <w:p w14:paraId="26CF5E79">
      <w:pPr>
        <w:adjustRightInd w:val="0"/>
        <w:snapToGrid w:val="0"/>
        <w:spacing w:line="360" w:lineRule="auto"/>
        <w:jc w:val="center"/>
        <w:rPr>
          <w:rFonts w:hint="eastAsia" w:ascii="宋体" w:hAnsi="宋体" w:cs="宋体"/>
          <w:b/>
          <w:sz w:val="44"/>
          <w:szCs w:val="44"/>
        </w:rPr>
      </w:pPr>
    </w:p>
    <w:p w14:paraId="3AAA4C4C">
      <w:pPr>
        <w:adjustRightInd w:val="0"/>
        <w:snapToGrid w:val="0"/>
        <w:spacing w:line="360" w:lineRule="auto"/>
        <w:rPr>
          <w:rFonts w:hint="eastAsia" w:ascii="宋体" w:hAnsi="宋体" w:cs="宋体"/>
          <w:b/>
          <w:sz w:val="44"/>
          <w:szCs w:val="44"/>
        </w:rPr>
      </w:pPr>
    </w:p>
    <w:p w14:paraId="0EF8C67A">
      <w:pPr>
        <w:adjustRightInd w:val="0"/>
        <w:snapToGrid w:val="0"/>
        <w:spacing w:line="360" w:lineRule="auto"/>
        <w:jc w:val="center"/>
        <w:rPr>
          <w:rFonts w:hint="eastAsia" w:ascii="宋体" w:hAnsi="宋体" w:cs="宋体"/>
          <w:b/>
          <w:sz w:val="44"/>
          <w:szCs w:val="44"/>
        </w:rPr>
      </w:pPr>
      <w:r>
        <w:rPr>
          <w:rFonts w:hint="eastAsia" w:ascii="宋体" w:hAnsi="宋体" w:cs="宋体"/>
          <w:b/>
          <w:sz w:val="44"/>
          <w:szCs w:val="44"/>
        </w:rPr>
        <w:t>比 选 文 件</w:t>
      </w:r>
    </w:p>
    <w:p w14:paraId="5852267B">
      <w:pPr>
        <w:adjustRightInd w:val="0"/>
        <w:snapToGrid w:val="0"/>
        <w:spacing w:line="360" w:lineRule="auto"/>
        <w:ind w:firstLine="560" w:firstLineChars="200"/>
        <w:rPr>
          <w:rFonts w:hint="eastAsia" w:ascii="宋体" w:hAnsi="宋体" w:cs="宋体"/>
          <w:kern w:val="0"/>
          <w:sz w:val="28"/>
          <w:szCs w:val="28"/>
        </w:rPr>
      </w:pPr>
      <w:r>
        <w:rPr>
          <w:rFonts w:hint="eastAsia" w:ascii="宋体" w:hAnsi="宋体" w:cs="宋体"/>
          <w:bCs/>
          <w:sz w:val="28"/>
          <w:szCs w:val="28"/>
        </w:rPr>
        <w:t>根据比选人相关规定，计划采用竞争性比选方式确定渝开发</w:t>
      </w:r>
      <w:r>
        <w:rPr>
          <w:rFonts w:hint="eastAsia" w:ascii="宋体" w:hAnsi="宋体" w:cs="宋体"/>
          <w:sz w:val="28"/>
          <w:szCs w:val="28"/>
        </w:rPr>
        <w:t>2024年年度市场监测咨询服务合作</w:t>
      </w:r>
      <w:r>
        <w:rPr>
          <w:rFonts w:ascii="宋体" w:hAnsi="宋体" w:cs="宋体"/>
          <w:sz w:val="28"/>
          <w:szCs w:val="28"/>
        </w:rPr>
        <w:t>单位</w:t>
      </w:r>
      <w:r>
        <w:rPr>
          <w:rFonts w:hint="eastAsia" w:ascii="宋体" w:hAnsi="宋体" w:cs="宋体"/>
          <w:kern w:val="0"/>
          <w:sz w:val="28"/>
          <w:szCs w:val="28"/>
        </w:rPr>
        <w:t>。</w:t>
      </w:r>
      <w:r>
        <w:rPr>
          <w:rFonts w:hint="eastAsia" w:ascii="宋体" w:hAnsi="宋体" w:cs="宋体"/>
          <w:bCs/>
          <w:sz w:val="28"/>
          <w:szCs w:val="28"/>
        </w:rPr>
        <w:t>现公告如下：</w:t>
      </w:r>
    </w:p>
    <w:p w14:paraId="13FD21B9">
      <w:pPr>
        <w:adjustRightInd w:val="0"/>
        <w:snapToGrid w:val="0"/>
        <w:spacing w:line="360" w:lineRule="auto"/>
        <w:rPr>
          <w:rFonts w:hint="eastAsia" w:ascii="宋体" w:hAnsi="宋体" w:cs="宋体"/>
          <w:kern w:val="0"/>
          <w:sz w:val="28"/>
          <w:szCs w:val="28"/>
        </w:rPr>
      </w:pPr>
      <w:r>
        <w:rPr>
          <w:rFonts w:hint="eastAsia" w:ascii="宋体" w:hAnsi="宋体" w:cs="宋体"/>
          <w:b/>
          <w:sz w:val="28"/>
          <w:szCs w:val="28"/>
        </w:rPr>
        <w:t>第一条、比选范围与项目概况</w:t>
      </w:r>
    </w:p>
    <w:p w14:paraId="6ACE1F50">
      <w:pPr>
        <w:pStyle w:val="18"/>
        <w:tabs>
          <w:tab w:val="left" w:pos="420"/>
          <w:tab w:val="left" w:pos="630"/>
        </w:tabs>
        <w:spacing w:line="360" w:lineRule="auto"/>
        <w:ind w:firstLine="0"/>
        <w:rPr>
          <w:rFonts w:hint="eastAsia" w:ascii="宋体" w:hAnsi="宋体"/>
          <w:sz w:val="28"/>
          <w:szCs w:val="28"/>
        </w:rPr>
      </w:pPr>
      <w:r>
        <w:rPr>
          <w:rFonts w:hint="eastAsia" w:ascii="宋体" w:hAnsi="宋体" w:cs="Times New Roman"/>
          <w:bCs/>
          <w:kern w:val="2"/>
          <w:sz w:val="28"/>
          <w:szCs w:val="28"/>
        </w:rPr>
        <w:t xml:space="preserve"> （一）比选范围：</w:t>
      </w:r>
      <w:r>
        <w:rPr>
          <w:rFonts w:hint="eastAsia" w:ascii="宋体" w:hAnsi="宋体"/>
          <w:bCs/>
          <w:sz w:val="28"/>
          <w:szCs w:val="28"/>
        </w:rPr>
        <w:t>渝开发</w:t>
      </w:r>
      <w:r>
        <w:rPr>
          <w:rFonts w:hint="eastAsia" w:ascii="宋体" w:hAnsi="宋体"/>
          <w:sz w:val="28"/>
          <w:szCs w:val="28"/>
        </w:rPr>
        <w:t>2024年年度市场监测咨询服务</w:t>
      </w:r>
    </w:p>
    <w:p w14:paraId="11387905">
      <w:pPr>
        <w:pStyle w:val="18"/>
        <w:spacing w:line="360" w:lineRule="auto"/>
        <w:ind w:firstLine="0"/>
        <w:rPr>
          <w:rFonts w:hint="eastAsia" w:ascii="宋体" w:hAnsi="宋体" w:cs="Times New Roman"/>
          <w:bCs/>
          <w:kern w:val="2"/>
          <w:sz w:val="28"/>
          <w:szCs w:val="28"/>
        </w:rPr>
      </w:pPr>
      <w:r>
        <w:rPr>
          <w:rFonts w:hint="eastAsia" w:ascii="宋体" w:hAnsi="宋体" w:cs="Times New Roman"/>
          <w:bCs/>
          <w:kern w:val="2"/>
          <w:sz w:val="28"/>
          <w:szCs w:val="28"/>
        </w:rPr>
        <w:t xml:space="preserve"> （二）合作时间：签订合同之日起一年，具体起始时间以双方签定合同之日起计算。</w:t>
      </w:r>
      <w:r>
        <w:rPr>
          <w:rFonts w:hint="eastAsia" w:ascii="宋体" w:hAnsi="宋体"/>
          <w:bCs/>
          <w:kern w:val="2"/>
          <w:sz w:val="28"/>
          <w:szCs w:val="28"/>
        </w:rPr>
        <w:t>在合同签定期限内，若</w:t>
      </w:r>
      <w:r>
        <w:rPr>
          <w:rFonts w:hint="eastAsia" w:ascii="宋体" w:hAnsi="宋体"/>
          <w:bCs/>
          <w:kern w:val="2"/>
          <w:sz w:val="28"/>
          <w:szCs w:val="28"/>
          <w:lang w:val="en-US" w:eastAsia="zh-CN"/>
        </w:rPr>
        <w:t>服务</w:t>
      </w:r>
      <w:r>
        <w:rPr>
          <w:rFonts w:hint="eastAsia" w:ascii="宋体" w:hAnsi="宋体"/>
          <w:bCs/>
          <w:kern w:val="2"/>
          <w:sz w:val="28"/>
          <w:szCs w:val="28"/>
        </w:rPr>
        <w:t xml:space="preserve">未达到比选人要求，比选人可单方面终止合同。  </w:t>
      </w:r>
    </w:p>
    <w:p w14:paraId="68C4DC99">
      <w:pPr>
        <w:pStyle w:val="18"/>
        <w:tabs>
          <w:tab w:val="left" w:pos="420"/>
        </w:tabs>
        <w:adjustRightInd w:val="0"/>
        <w:snapToGrid w:val="0"/>
        <w:spacing w:line="360" w:lineRule="auto"/>
        <w:ind w:firstLine="0"/>
        <w:jc w:val="left"/>
        <w:rPr>
          <w:rFonts w:hint="eastAsia" w:ascii="宋体" w:hAnsi="宋体"/>
          <w:bCs/>
          <w:kern w:val="2"/>
          <w:sz w:val="28"/>
          <w:szCs w:val="28"/>
        </w:rPr>
      </w:pPr>
      <w:r>
        <w:rPr>
          <w:rFonts w:hint="eastAsia" w:ascii="宋体" w:hAnsi="宋体"/>
          <w:bCs/>
          <w:kern w:val="2"/>
          <w:sz w:val="28"/>
          <w:szCs w:val="28"/>
        </w:rPr>
        <w:t xml:space="preserve"> （三）合作内容：</w:t>
      </w:r>
    </w:p>
    <w:p w14:paraId="165B4F81">
      <w:pPr>
        <w:spacing w:line="360" w:lineRule="auto"/>
        <w:rPr>
          <w:rFonts w:hint="eastAsia" w:ascii="宋体" w:hAnsi="宋体" w:cs="宋体"/>
          <w:sz w:val="28"/>
          <w:szCs w:val="28"/>
        </w:rPr>
      </w:pPr>
      <w:r>
        <w:rPr>
          <w:rFonts w:hint="eastAsia" w:ascii="方正仿宋_GBK" w:hAnsi="方正仿宋_GBK" w:cs="方正仿宋_GBK"/>
          <w:sz w:val="32"/>
          <w:szCs w:val="32"/>
        </w:rPr>
        <w:t xml:space="preserve">  </w:t>
      </w:r>
      <w:r>
        <w:rPr>
          <w:rFonts w:hint="eastAsia" w:ascii="宋体" w:hAnsi="宋体" w:cs="宋体"/>
          <w:sz w:val="28"/>
          <w:szCs w:val="28"/>
        </w:rPr>
        <w:t xml:space="preserve">  1、重庆市主城区常规市场服务，包括：土地市场、商品房市场、比选人在售（待售）项目基本服务（包括但不限于贯金和府、南樾天宸、山与城、星河博棠等）的市场跟踪。</w:t>
      </w:r>
    </w:p>
    <w:p w14:paraId="4E70C6ED">
      <w:pPr>
        <w:spacing w:line="360" w:lineRule="auto"/>
        <w:rPr>
          <w:rFonts w:hint="eastAsia" w:ascii="宋体" w:hAnsi="宋体" w:cs="宋体"/>
          <w:sz w:val="28"/>
          <w:szCs w:val="28"/>
        </w:rPr>
      </w:pPr>
      <w:r>
        <w:rPr>
          <w:rFonts w:hint="eastAsia" w:ascii="宋体" w:hAnsi="宋体" w:cs="宋体"/>
          <w:kern w:val="0"/>
          <w:sz w:val="28"/>
          <w:szCs w:val="28"/>
        </w:rPr>
        <w:t xml:space="preserve">    2、</w:t>
      </w:r>
      <w:r>
        <w:rPr>
          <w:rFonts w:hint="eastAsia" w:ascii="宋体" w:hAnsi="宋体" w:cs="宋体"/>
          <w:sz w:val="28"/>
          <w:szCs w:val="28"/>
        </w:rPr>
        <w:t>重庆市主城区二手房市场数据查询、车位市场数据查询；</w:t>
      </w:r>
    </w:p>
    <w:p w14:paraId="485CA2BD">
      <w:pPr>
        <w:spacing w:line="360" w:lineRule="auto"/>
        <w:ind w:firstLine="560"/>
        <w:rPr>
          <w:rFonts w:hint="eastAsia" w:ascii="宋体" w:hAnsi="宋体" w:cs="宋体"/>
          <w:sz w:val="28"/>
          <w:szCs w:val="28"/>
        </w:rPr>
      </w:pPr>
      <w:r>
        <w:rPr>
          <w:rFonts w:hint="eastAsia" w:ascii="宋体" w:hAnsi="宋体" w:cs="宋体"/>
          <w:sz w:val="28"/>
          <w:szCs w:val="28"/>
        </w:rPr>
        <w:t>3、重庆市范围内房地产数据及经济指标数据查询（不包括专题报告，若需要提供城市进驻或专项市场报告，双方可另行商议）；</w:t>
      </w:r>
    </w:p>
    <w:p w14:paraId="77CC0743">
      <w:pPr>
        <w:spacing w:line="360" w:lineRule="auto"/>
        <w:ind w:firstLine="565" w:firstLineChars="202"/>
        <w:rPr>
          <w:rFonts w:hint="eastAsia" w:ascii="宋体" w:hAnsi="宋体" w:cs="宋体"/>
          <w:sz w:val="28"/>
          <w:szCs w:val="28"/>
        </w:rPr>
      </w:pPr>
      <w:r>
        <w:rPr>
          <w:rFonts w:hint="eastAsia" w:ascii="宋体" w:hAnsi="宋体" w:cs="宋体"/>
          <w:sz w:val="28"/>
          <w:szCs w:val="28"/>
        </w:rPr>
        <w:t>4、数据查询维度包含：区域、项目、组团、价格、面积、业态、房型等</w:t>
      </w:r>
    </w:p>
    <w:p w14:paraId="7D0B8BB6">
      <w:pPr>
        <w:spacing w:line="360" w:lineRule="auto"/>
        <w:rPr>
          <w:rFonts w:hint="eastAsia" w:ascii="宋体" w:hAnsi="宋体" w:cs="宋体"/>
          <w:sz w:val="28"/>
          <w:szCs w:val="28"/>
        </w:rPr>
      </w:pPr>
      <w:r>
        <w:rPr>
          <w:rFonts w:hint="eastAsia" w:ascii="宋体" w:hAnsi="宋体" w:cs="宋体"/>
          <w:sz w:val="28"/>
          <w:szCs w:val="28"/>
        </w:rPr>
        <w:t xml:space="preserve">    5、根据比选人需求，提供重庆市主城区以外区域（含重庆区县及市外城市）满足可行性分析需求的土地、商品房市场数据咨询服务；针对比选人进入可研阶段的项目，提供满足比选人土地获取类项目可研报告模板深度要求的市场分析部分内容；数据类服务，应包含土地、商品房市场的各业态历年数据，历史变化趋势及未来一定时限内的变动预测，最好能按项目按需提供租赁市场数据；土地集中供地信息方面，应在正式公告前提供年度及每批次土地集中供地信息。</w:t>
      </w:r>
    </w:p>
    <w:p w14:paraId="7DF53F80">
      <w:pPr>
        <w:pStyle w:val="11"/>
        <w:ind w:firstLine="560"/>
      </w:pPr>
    </w:p>
    <w:p w14:paraId="4EF54152">
      <w:pPr>
        <w:spacing w:line="360" w:lineRule="auto"/>
        <w:rPr>
          <w:rFonts w:hint="eastAsia" w:ascii="宋体" w:hAnsi="宋体" w:cs="宋体"/>
          <w:kern w:val="0"/>
          <w:sz w:val="28"/>
          <w:szCs w:val="28"/>
        </w:rPr>
      </w:pPr>
      <w:r>
        <w:rPr>
          <w:rFonts w:hint="eastAsia" w:ascii="宋体" w:hAnsi="宋体" w:cs="宋体"/>
          <w:sz w:val="28"/>
          <w:szCs w:val="28"/>
        </w:rPr>
        <w:t xml:space="preserve">    6、</w:t>
      </w:r>
      <w:r>
        <w:rPr>
          <w:rFonts w:hint="eastAsia" w:ascii="宋体" w:hAnsi="宋体" w:cs="宋体"/>
          <w:kern w:val="0"/>
          <w:sz w:val="28"/>
          <w:szCs w:val="28"/>
        </w:rPr>
        <w:t>成果要求</w:t>
      </w:r>
    </w:p>
    <w:p w14:paraId="28A6A8E1">
      <w:pPr>
        <w:spacing w:line="360" w:lineRule="auto"/>
        <w:rPr>
          <w:rFonts w:hint="eastAsia" w:ascii="宋体" w:hAnsi="宋体" w:cs="宋体"/>
          <w:sz w:val="28"/>
          <w:szCs w:val="28"/>
        </w:rPr>
      </w:pPr>
      <w:r>
        <w:rPr>
          <w:rFonts w:hint="eastAsia" w:ascii="宋体" w:hAnsi="宋体" w:cs="宋体"/>
          <w:sz w:val="28"/>
          <w:szCs w:val="28"/>
        </w:rPr>
        <w:t xml:space="preserve">   按期提交周报告、月报、季度报、半年报和年报报告（以PPT格式及邮箱方式提交）；</w:t>
      </w:r>
    </w:p>
    <w:p w14:paraId="2A37C136">
      <w:pPr>
        <w:spacing w:line="360" w:lineRule="auto"/>
        <w:rPr>
          <w:rFonts w:hint="eastAsia" w:ascii="方正仿宋_GBK" w:hAnsi="方正仿宋_GBK" w:eastAsia="方正仿宋_GBK" w:cs="方正仿宋_GBK"/>
          <w:b/>
          <w:bCs/>
          <w:sz w:val="28"/>
          <w:szCs w:val="28"/>
        </w:rPr>
      </w:pPr>
      <w:r>
        <w:rPr>
          <w:rFonts w:hint="eastAsia" w:ascii="宋体" w:hAnsi="宋体" w:cs="宋体"/>
          <w:sz w:val="28"/>
          <w:szCs w:val="28"/>
        </w:rPr>
        <w:t xml:space="preserve">    7、增值服务</w:t>
      </w:r>
    </w:p>
    <w:p w14:paraId="35EEA869">
      <w:pPr>
        <w:spacing w:line="360" w:lineRule="auto"/>
        <w:rPr>
          <w:rFonts w:hint="eastAsia" w:ascii="宋体" w:hAnsi="宋体" w:cs="宋体"/>
          <w:sz w:val="28"/>
          <w:szCs w:val="28"/>
        </w:rPr>
      </w:pPr>
      <w:r>
        <w:rPr>
          <w:rFonts w:hint="eastAsia" w:ascii="宋体" w:hAnsi="宋体" w:cs="宋体"/>
          <w:sz w:val="28"/>
          <w:szCs w:val="28"/>
        </w:rPr>
        <w:t xml:space="preserve">    7.1合作期间提供数据库账号5个，方便比选人登陆系统自行查询数据。</w:t>
      </w:r>
    </w:p>
    <w:p w14:paraId="68AD4AFC">
      <w:pPr>
        <w:pStyle w:val="11"/>
        <w:spacing w:line="360" w:lineRule="auto"/>
        <w:rPr>
          <w:rFonts w:hint="eastAsia" w:ascii="宋体" w:hAnsi="宋体" w:cs="宋体"/>
          <w:sz w:val="28"/>
          <w:szCs w:val="28"/>
        </w:rPr>
      </w:pPr>
      <w:r>
        <w:rPr>
          <w:rFonts w:hint="eastAsia" w:ascii="宋体" w:hAnsi="宋体" w:cs="宋体"/>
          <w:b w:val="0"/>
          <w:bCs w:val="0"/>
          <w:sz w:val="28"/>
          <w:szCs w:val="28"/>
        </w:rPr>
        <w:t xml:space="preserve">    7.2合作期间提供专属管家一对一式服务，</w:t>
      </w:r>
      <w:r>
        <w:rPr>
          <w:rFonts w:hint="eastAsia" w:ascii="宋体" w:hAnsi="宋体" w:cs="宋体"/>
          <w:b w:val="0"/>
          <w:kern w:val="0"/>
          <w:sz w:val="28"/>
          <w:szCs w:val="28"/>
          <w:lang w:bidi="ar"/>
        </w:rPr>
        <w:t>根据实际工作需求，由比选人向中选人的管家团队提出数据服务内容。</w:t>
      </w:r>
    </w:p>
    <w:p w14:paraId="0C674D3B">
      <w:pPr>
        <w:spacing w:line="360" w:lineRule="auto"/>
        <w:ind w:firstLine="560"/>
        <w:rPr>
          <w:rFonts w:hint="eastAsia" w:ascii="宋体" w:hAnsi="宋体" w:cs="宋体"/>
          <w:sz w:val="28"/>
          <w:szCs w:val="28"/>
        </w:rPr>
      </w:pPr>
      <w:r>
        <w:rPr>
          <w:rFonts w:hint="eastAsia" w:ascii="宋体" w:hAnsi="宋体" w:cs="宋体"/>
          <w:sz w:val="28"/>
          <w:szCs w:val="28"/>
        </w:rPr>
        <w:t>7.3按月度、季度、半年、年度分别为比选人专属定制重庆房地产市场动态报告,每期9本。</w:t>
      </w:r>
    </w:p>
    <w:p w14:paraId="7AD969B2">
      <w:pPr>
        <w:pStyle w:val="18"/>
        <w:spacing w:line="360" w:lineRule="auto"/>
        <w:ind w:firstLine="0"/>
        <w:rPr>
          <w:rFonts w:hint="eastAsia" w:ascii="宋体" w:hAnsi="宋体"/>
          <w:sz w:val="28"/>
          <w:szCs w:val="28"/>
        </w:rPr>
      </w:pPr>
      <w:r>
        <w:rPr>
          <w:rFonts w:hint="eastAsia" w:ascii="宋体" w:hAnsi="宋体"/>
          <w:sz w:val="28"/>
          <w:szCs w:val="28"/>
        </w:rPr>
        <w:t xml:space="preserve">    8、具体详见附件</w:t>
      </w:r>
      <w:r>
        <w:rPr>
          <w:rFonts w:hint="eastAsia" w:ascii="宋体" w:hAnsi="宋体"/>
          <w:sz w:val="28"/>
          <w:szCs w:val="28"/>
          <w:lang w:val="en-US" w:eastAsia="zh-CN"/>
        </w:rPr>
        <w:t>2</w:t>
      </w:r>
      <w:bookmarkStart w:id="31" w:name="_GoBack"/>
      <w:bookmarkEnd w:id="31"/>
      <w:r>
        <w:rPr>
          <w:rFonts w:hint="eastAsia" w:ascii="宋体" w:hAnsi="宋体"/>
          <w:sz w:val="28"/>
          <w:szCs w:val="28"/>
        </w:rPr>
        <w:t>。</w:t>
      </w:r>
    </w:p>
    <w:p w14:paraId="62FBA119">
      <w:pPr>
        <w:pStyle w:val="18"/>
        <w:spacing w:line="360" w:lineRule="auto"/>
        <w:ind w:firstLine="0"/>
        <w:rPr>
          <w:rFonts w:hint="eastAsia" w:ascii="宋体" w:hAnsi="宋体"/>
          <w:sz w:val="28"/>
          <w:szCs w:val="28"/>
        </w:rPr>
      </w:pPr>
    </w:p>
    <w:p w14:paraId="34F50663">
      <w:pPr>
        <w:pStyle w:val="18"/>
        <w:numPr>
          <w:ilvl w:val="0"/>
          <w:numId w:val="5"/>
        </w:numPr>
        <w:adjustRightInd w:val="0"/>
        <w:snapToGrid w:val="0"/>
        <w:spacing w:line="360" w:lineRule="auto"/>
        <w:ind w:firstLine="0"/>
        <w:jc w:val="left"/>
        <w:rPr>
          <w:rFonts w:hint="eastAsia" w:ascii="宋体" w:hAnsi="宋体"/>
          <w:b/>
          <w:sz w:val="28"/>
          <w:szCs w:val="28"/>
        </w:rPr>
      </w:pPr>
      <w:r>
        <w:rPr>
          <w:rFonts w:hint="eastAsia" w:ascii="宋体" w:hAnsi="宋体"/>
          <w:b/>
          <w:sz w:val="28"/>
          <w:szCs w:val="28"/>
        </w:rPr>
        <w:t>、比选要求</w:t>
      </w:r>
    </w:p>
    <w:p w14:paraId="0220B882">
      <w:pPr>
        <w:pStyle w:val="18"/>
        <w:adjustRightInd w:val="0"/>
        <w:snapToGrid w:val="0"/>
        <w:spacing w:line="360" w:lineRule="auto"/>
        <w:ind w:firstLine="0"/>
        <w:jc w:val="left"/>
        <w:rPr>
          <w:rFonts w:hint="eastAsia" w:ascii="宋体" w:hAnsi="宋体"/>
          <w:b/>
          <w:sz w:val="28"/>
          <w:szCs w:val="28"/>
        </w:rPr>
      </w:pPr>
      <w:r>
        <w:rPr>
          <w:rFonts w:hint="eastAsia" w:ascii="宋体" w:hAnsi="宋体"/>
          <w:b/>
          <w:sz w:val="28"/>
          <w:szCs w:val="28"/>
        </w:rPr>
        <w:t>一、参选人资格要求</w:t>
      </w:r>
      <w:r>
        <w:rPr>
          <w:rFonts w:hint="eastAsia" w:ascii="宋体" w:hAnsi="宋体"/>
          <w:b/>
          <w:sz w:val="28"/>
          <w:szCs w:val="28"/>
        </w:rPr>
        <w:tab/>
      </w:r>
    </w:p>
    <w:p w14:paraId="5C5559BF">
      <w:pPr>
        <w:pStyle w:val="10"/>
        <w:widowControl/>
        <w:tabs>
          <w:tab w:val="left" w:pos="0"/>
        </w:tabs>
        <w:adjustRightInd w:val="0"/>
        <w:snapToGrid w:val="0"/>
        <w:spacing w:line="360" w:lineRule="auto"/>
        <w:ind w:firstLine="560" w:firstLineChars="200"/>
        <w:jc w:val="left"/>
        <w:rPr>
          <w:rFonts w:hint="eastAsia" w:ascii="宋体" w:hAnsi="宋体" w:cs="宋体"/>
          <w:kern w:val="0"/>
          <w:sz w:val="28"/>
          <w:szCs w:val="28"/>
          <w:lang w:bidi="ar"/>
        </w:rPr>
      </w:pPr>
      <w:r>
        <w:rPr>
          <w:rFonts w:hint="eastAsia" w:ascii="宋体" w:hAnsi="宋体"/>
          <w:sz w:val="28"/>
          <w:szCs w:val="28"/>
        </w:rPr>
        <w:t>（一）经营资格：须具备独立法人资格；</w:t>
      </w:r>
      <w:r>
        <w:rPr>
          <w:rFonts w:hint="eastAsia" w:ascii="宋体" w:hAnsi="宋体"/>
          <w:color w:val="000000"/>
          <w:sz w:val="28"/>
          <w:szCs w:val="28"/>
        </w:rPr>
        <w:t>注册地址为重庆市范围内,</w:t>
      </w:r>
      <w:r>
        <w:rPr>
          <w:rFonts w:hint="eastAsia" w:ascii="宋体" w:hAnsi="宋体"/>
          <w:sz w:val="28"/>
          <w:szCs w:val="28"/>
        </w:rPr>
        <w:t>成立时间不少于三年；</w:t>
      </w:r>
      <w:r>
        <w:rPr>
          <w:rFonts w:hint="eastAsia" w:ascii="宋体" w:hAnsi="宋体" w:cs="宋体"/>
          <w:kern w:val="0"/>
          <w:sz w:val="28"/>
          <w:szCs w:val="28"/>
          <w:lang w:bidi="ar"/>
        </w:rPr>
        <w:t>且《营业执照》经营范围须具备如“大数据处理分析、服务”、“互联网数据服务”、“市场调研”、“房地产营销策划”、“房地产咨询”、“企业管理咨询”、“商务信息咨询”、“计算机信息技术的技术开发、技术转让、技术服务”等相关条件之一的经营许可。参选人须提供有效营业执照复印件并加盖鲜章。</w:t>
      </w:r>
    </w:p>
    <w:p w14:paraId="40F33804">
      <w:pPr>
        <w:pStyle w:val="10"/>
        <w:widowControl/>
        <w:adjustRightInd w:val="0"/>
        <w:snapToGrid w:val="0"/>
        <w:spacing w:line="360" w:lineRule="auto"/>
        <w:jc w:val="left"/>
        <w:rPr>
          <w:rFonts w:hint="eastAsia" w:ascii="宋体" w:hAnsi="宋体"/>
          <w:color w:val="000000"/>
          <w:sz w:val="28"/>
          <w:szCs w:val="28"/>
        </w:rPr>
      </w:pPr>
      <w:r>
        <w:rPr>
          <w:rFonts w:hint="eastAsia" w:ascii="宋体" w:hAnsi="宋体"/>
          <w:sz w:val="28"/>
          <w:szCs w:val="28"/>
        </w:rPr>
        <w:t xml:space="preserve"> </w:t>
      </w:r>
      <w:r>
        <w:rPr>
          <w:rFonts w:hint="eastAsia" w:ascii="宋体" w:hAnsi="宋体" w:cs="宋体"/>
          <w:sz w:val="28"/>
          <w:szCs w:val="28"/>
          <w:lang w:bidi="ar"/>
        </w:rPr>
        <w:t xml:space="preserve">  （二）</w:t>
      </w:r>
      <w:r>
        <w:rPr>
          <w:rFonts w:hint="eastAsia" w:ascii="宋体" w:hAnsi="宋体"/>
          <w:sz w:val="28"/>
          <w:szCs w:val="28"/>
        </w:rPr>
        <w:t>参选人须提交在重庆主城区（江北区、渝北区、两江新区、北碚区、渝中区、九龙坡区、沙坪坝区、大渡口区、南岸区、巴南区）</w:t>
      </w:r>
      <w:r>
        <w:rPr>
          <w:rFonts w:hint="eastAsia" w:ascii="宋体" w:hAnsi="宋体"/>
          <w:bCs/>
          <w:sz w:val="28"/>
          <w:szCs w:val="28"/>
        </w:rPr>
        <w:t>2021年至今已完成或正在履行</w:t>
      </w:r>
      <w:r>
        <w:rPr>
          <w:rFonts w:hint="eastAsia" w:ascii="宋体" w:hAnsi="宋体"/>
          <w:sz w:val="28"/>
          <w:szCs w:val="28"/>
        </w:rPr>
        <w:t>不少于3个（包含3个）的房地产行业数据</w:t>
      </w:r>
      <w:r>
        <w:rPr>
          <w:rFonts w:hint="eastAsia" w:ascii="宋体" w:hAnsi="宋体"/>
          <w:bCs/>
          <w:sz w:val="28"/>
          <w:szCs w:val="28"/>
        </w:rPr>
        <w:t>咨询类服务合同且合同服务期限在一年或一年以上</w:t>
      </w:r>
      <w:r>
        <w:rPr>
          <w:rFonts w:hint="eastAsia" w:ascii="宋体" w:hAnsi="宋体"/>
          <w:sz w:val="28"/>
          <w:szCs w:val="28"/>
        </w:rPr>
        <w:t>，</w:t>
      </w:r>
      <w:r>
        <w:rPr>
          <w:rFonts w:hint="eastAsia" w:ascii="宋体" w:hAnsi="宋体"/>
          <w:bCs/>
          <w:sz w:val="28"/>
          <w:szCs w:val="28"/>
        </w:rPr>
        <w:t>合同须包含</w:t>
      </w:r>
      <w:r>
        <w:rPr>
          <w:rFonts w:hint="eastAsia" w:ascii="宋体" w:hAnsi="宋体" w:cs="宋体"/>
          <w:kern w:val="0"/>
          <w:sz w:val="28"/>
          <w:szCs w:val="28"/>
          <w:lang w:bidi="ar"/>
        </w:rPr>
        <w:t>“大数据服务、市场调研、企业管理咨询”等相关条件之一的服务内容</w:t>
      </w:r>
      <w:r>
        <w:rPr>
          <w:rFonts w:hint="eastAsia" w:ascii="宋体" w:hAnsi="宋体"/>
          <w:sz w:val="28"/>
          <w:szCs w:val="28"/>
        </w:rPr>
        <w:t>（需提供合同复印件，并加盖鲜章，合同原件及对应合同发票、银行对帐单一并在评审过程中查验，查验完成后退还给参选人）。</w:t>
      </w:r>
    </w:p>
    <w:p w14:paraId="4FD50FA1">
      <w:pPr>
        <w:widowControl/>
        <w:spacing w:line="360" w:lineRule="auto"/>
        <w:jc w:val="left"/>
      </w:pPr>
    </w:p>
    <w:p w14:paraId="0216266E">
      <w:pPr>
        <w:widowControl/>
        <w:spacing w:line="360" w:lineRule="auto"/>
        <w:jc w:val="left"/>
        <w:rPr>
          <w:bCs/>
          <w:sz w:val="28"/>
          <w:szCs w:val="28"/>
        </w:rPr>
      </w:pPr>
      <w:r>
        <w:rPr>
          <w:rFonts w:hint="eastAsia" w:ascii="宋体" w:hAnsi="宋体"/>
          <w:sz w:val="28"/>
          <w:szCs w:val="28"/>
        </w:rPr>
        <w:t xml:space="preserve"> </w:t>
      </w:r>
      <w:r>
        <w:rPr>
          <w:rFonts w:hint="eastAsia"/>
          <w:sz w:val="28"/>
          <w:szCs w:val="28"/>
        </w:rPr>
        <w:t>二、参选保证金</w:t>
      </w:r>
    </w:p>
    <w:p w14:paraId="61EC7B75">
      <w:pPr>
        <w:spacing w:line="360" w:lineRule="auto"/>
        <w:rPr>
          <w:rFonts w:hint="eastAsia" w:ascii="宋体" w:hAnsi="宋体"/>
          <w:bCs/>
          <w:sz w:val="28"/>
          <w:szCs w:val="28"/>
        </w:rPr>
      </w:pPr>
      <w:r>
        <w:rPr>
          <w:rFonts w:hint="eastAsia" w:ascii="宋体" w:hAnsi="宋体" w:cs="宋体"/>
          <w:bCs/>
          <w:sz w:val="28"/>
          <w:szCs w:val="28"/>
        </w:rPr>
        <w:t xml:space="preserve"> (一）</w:t>
      </w:r>
      <w:r>
        <w:rPr>
          <w:rFonts w:hint="eastAsia" w:ascii="宋体" w:hAnsi="宋体"/>
          <w:bCs/>
          <w:sz w:val="28"/>
          <w:szCs w:val="28"/>
        </w:rPr>
        <w:t xml:space="preserve">参选保证金0.5万元，可采用汇款或转账等方式，不接受现金。参选保证金须于  2024  年 </w:t>
      </w:r>
      <w:r>
        <w:rPr>
          <w:rFonts w:hint="eastAsia" w:ascii="宋体" w:hAnsi="宋体"/>
          <w:bCs/>
          <w:sz w:val="28"/>
          <w:szCs w:val="28"/>
          <w:lang w:val="en-US" w:eastAsia="zh-CN"/>
        </w:rPr>
        <w:t>10</w:t>
      </w:r>
      <w:r>
        <w:rPr>
          <w:rFonts w:hint="eastAsia" w:ascii="宋体" w:hAnsi="宋体"/>
          <w:bCs/>
          <w:sz w:val="28"/>
          <w:szCs w:val="28"/>
        </w:rPr>
        <w:t xml:space="preserve">  月  </w:t>
      </w:r>
      <w:r>
        <w:rPr>
          <w:rFonts w:hint="eastAsia" w:ascii="宋体" w:hAnsi="宋体"/>
          <w:bCs/>
          <w:sz w:val="28"/>
          <w:szCs w:val="28"/>
          <w:lang w:val="en-US" w:eastAsia="zh-CN"/>
        </w:rPr>
        <w:t>11</w:t>
      </w:r>
      <w:r>
        <w:rPr>
          <w:rFonts w:hint="eastAsia" w:ascii="宋体" w:hAnsi="宋体"/>
          <w:bCs/>
          <w:sz w:val="28"/>
          <w:szCs w:val="28"/>
        </w:rPr>
        <w:t xml:space="preserve"> 日中午</w:t>
      </w:r>
      <w:r>
        <w:rPr>
          <w:rFonts w:ascii="宋体" w:hAnsi="宋体"/>
          <w:bCs/>
          <w:sz w:val="28"/>
          <w:szCs w:val="28"/>
        </w:rPr>
        <w:t>1</w:t>
      </w:r>
      <w:r>
        <w:rPr>
          <w:rFonts w:hint="eastAsia" w:ascii="宋体" w:hAnsi="宋体"/>
          <w:bCs/>
          <w:sz w:val="28"/>
          <w:szCs w:val="28"/>
        </w:rPr>
        <w:t>2</w:t>
      </w:r>
      <w:r>
        <w:rPr>
          <w:rFonts w:ascii="宋体" w:hAnsi="宋体"/>
          <w:bCs/>
          <w:sz w:val="28"/>
          <w:szCs w:val="28"/>
        </w:rPr>
        <w:t>:</w:t>
      </w:r>
      <w:r>
        <w:rPr>
          <w:rFonts w:hint="eastAsia" w:ascii="宋体" w:hAnsi="宋体"/>
          <w:bCs/>
          <w:sz w:val="28"/>
          <w:szCs w:val="28"/>
        </w:rPr>
        <w:t>0</w:t>
      </w:r>
      <w:r>
        <w:rPr>
          <w:rFonts w:ascii="宋体" w:hAnsi="宋体"/>
          <w:bCs/>
          <w:sz w:val="28"/>
          <w:szCs w:val="28"/>
        </w:rPr>
        <w:t>0</w:t>
      </w:r>
      <w:r>
        <w:rPr>
          <w:rFonts w:hint="eastAsia" w:ascii="宋体" w:hAnsi="宋体"/>
          <w:bCs/>
          <w:sz w:val="28"/>
          <w:szCs w:val="28"/>
        </w:rPr>
        <w:t>前汇入比选人指定账户，否则比选人不予受理。指定账户如下：</w:t>
      </w:r>
    </w:p>
    <w:p w14:paraId="1002B05F">
      <w:pPr>
        <w:spacing w:line="360" w:lineRule="auto"/>
        <w:ind w:firstLine="560" w:firstLineChars="200"/>
        <w:rPr>
          <w:rFonts w:hint="eastAsia" w:ascii="宋体" w:hAnsi="宋体"/>
          <w:bCs/>
          <w:sz w:val="28"/>
          <w:szCs w:val="28"/>
        </w:rPr>
      </w:pPr>
      <w:r>
        <w:rPr>
          <w:rFonts w:hint="eastAsia" w:ascii="宋体" w:hAnsi="宋体"/>
          <w:bCs/>
          <w:sz w:val="28"/>
          <w:szCs w:val="28"/>
        </w:rPr>
        <w:t>单位名称：重庆渝开发股份有限公司</w:t>
      </w:r>
    </w:p>
    <w:p w14:paraId="2128D387">
      <w:pPr>
        <w:spacing w:line="360" w:lineRule="auto"/>
        <w:ind w:firstLine="560" w:firstLineChars="200"/>
        <w:rPr>
          <w:rFonts w:hint="eastAsia" w:ascii="宋体" w:hAnsi="宋体"/>
          <w:bCs/>
          <w:sz w:val="28"/>
          <w:szCs w:val="28"/>
        </w:rPr>
      </w:pPr>
      <w:r>
        <w:rPr>
          <w:rFonts w:hint="eastAsia" w:ascii="宋体" w:hAnsi="宋体"/>
          <w:bCs/>
          <w:sz w:val="28"/>
          <w:szCs w:val="28"/>
        </w:rPr>
        <w:t>开户行名称：中行重庆渝中支行</w:t>
      </w:r>
    </w:p>
    <w:p w14:paraId="10812FA9">
      <w:pPr>
        <w:spacing w:line="360" w:lineRule="auto"/>
        <w:ind w:firstLine="560" w:firstLineChars="200"/>
        <w:rPr>
          <w:rFonts w:hint="eastAsia" w:ascii="宋体" w:hAnsi="宋体"/>
          <w:bCs/>
          <w:sz w:val="28"/>
          <w:szCs w:val="28"/>
        </w:rPr>
      </w:pPr>
      <w:r>
        <w:rPr>
          <w:rFonts w:hint="eastAsia" w:ascii="宋体" w:hAnsi="宋体"/>
          <w:bCs/>
          <w:sz w:val="28"/>
          <w:szCs w:val="28"/>
        </w:rPr>
        <w:t>账号：1102 0754 7036</w:t>
      </w:r>
    </w:p>
    <w:p w14:paraId="334CEDC9">
      <w:pPr>
        <w:spacing w:line="360" w:lineRule="auto"/>
        <w:ind w:firstLine="565" w:firstLineChars="202"/>
        <w:rPr>
          <w:rFonts w:hint="eastAsia" w:ascii="宋体" w:hAnsi="宋体" w:eastAsia="宋体"/>
          <w:bCs/>
          <w:color w:val="000000"/>
          <w:sz w:val="28"/>
          <w:szCs w:val="28"/>
          <w:u w:val="single"/>
          <w:lang w:eastAsia="zh-CN"/>
        </w:rPr>
      </w:pPr>
      <w:r>
        <w:rPr>
          <w:rFonts w:hint="eastAsia" w:ascii="宋体" w:hAnsi="宋体"/>
          <w:color w:val="000000"/>
          <w:sz w:val="28"/>
          <w:szCs w:val="28"/>
          <w:u w:val="single"/>
        </w:rPr>
        <w:t>参选</w:t>
      </w:r>
      <w:r>
        <w:rPr>
          <w:rFonts w:hint="eastAsia" w:ascii="宋体" w:hAnsi="宋体"/>
          <w:bCs/>
          <w:color w:val="000000"/>
          <w:sz w:val="28"/>
          <w:szCs w:val="28"/>
          <w:u w:val="single"/>
        </w:rPr>
        <w:t>人必须在转账备注中注明：</w:t>
      </w:r>
      <w:r>
        <w:rPr>
          <w:rFonts w:hint="eastAsia" w:ascii="宋体" w:hAnsi="宋体"/>
          <w:color w:val="000000"/>
          <w:sz w:val="28"/>
          <w:szCs w:val="28"/>
          <w:u w:val="single"/>
        </w:rPr>
        <w:t>参选</w:t>
      </w:r>
      <w:r>
        <w:rPr>
          <w:rFonts w:hint="eastAsia" w:ascii="宋体" w:hAnsi="宋体"/>
          <w:bCs/>
          <w:color w:val="000000"/>
          <w:sz w:val="28"/>
          <w:szCs w:val="28"/>
          <w:u w:val="single"/>
        </w:rPr>
        <w:t>人名称及</w:t>
      </w:r>
      <w:r>
        <w:rPr>
          <w:rFonts w:hint="eastAsia" w:ascii="宋体" w:hAnsi="宋体" w:cs="宋体"/>
          <w:sz w:val="28"/>
          <w:szCs w:val="28"/>
          <w:u w:val="single"/>
        </w:rPr>
        <w:t>渝开发2024年年度市场监测咨询服务合作</w:t>
      </w:r>
      <w:r>
        <w:rPr>
          <w:rFonts w:ascii="宋体" w:hAnsi="宋体" w:cs="宋体"/>
          <w:sz w:val="28"/>
          <w:szCs w:val="28"/>
          <w:u w:val="single"/>
        </w:rPr>
        <w:t>单位</w:t>
      </w:r>
      <w:r>
        <w:rPr>
          <w:rFonts w:hint="eastAsia" w:ascii="宋体" w:hAnsi="宋体" w:cs="宋体"/>
          <w:sz w:val="28"/>
          <w:szCs w:val="28"/>
          <w:u w:val="single"/>
        </w:rPr>
        <w:t>竞争性比选</w:t>
      </w:r>
      <w:r>
        <w:rPr>
          <w:rFonts w:hint="eastAsia" w:ascii="宋体" w:hAnsi="宋体" w:cs="宋体"/>
          <w:sz w:val="28"/>
          <w:szCs w:val="28"/>
          <w:u w:val="single"/>
          <w:lang w:val="en-US" w:eastAsia="zh-CN"/>
        </w:rPr>
        <w:t>保证金</w:t>
      </w:r>
      <w:r>
        <w:rPr>
          <w:rFonts w:hint="eastAsia" w:ascii="宋体" w:hAnsi="宋体" w:cs="宋体"/>
          <w:sz w:val="28"/>
          <w:szCs w:val="28"/>
          <w:u w:val="single"/>
          <w:lang w:eastAsia="zh-CN"/>
        </w:rPr>
        <w:t>（</w:t>
      </w:r>
      <w:r>
        <w:rPr>
          <w:rFonts w:hint="eastAsia" w:ascii="宋体" w:hAnsi="宋体" w:cs="宋体"/>
          <w:sz w:val="28"/>
          <w:szCs w:val="28"/>
          <w:u w:val="single"/>
          <w:lang w:val="en-US" w:eastAsia="zh-CN"/>
        </w:rPr>
        <w:t>第二次</w:t>
      </w:r>
      <w:r>
        <w:rPr>
          <w:rFonts w:hint="eastAsia" w:ascii="宋体" w:hAnsi="宋体" w:cs="宋体"/>
          <w:sz w:val="28"/>
          <w:szCs w:val="28"/>
          <w:u w:val="single"/>
          <w:lang w:eastAsia="zh-CN"/>
        </w:rPr>
        <w:t>）</w:t>
      </w:r>
      <w:r>
        <w:rPr>
          <w:rFonts w:ascii="宋体" w:hAnsi="宋体"/>
          <w:bCs/>
          <w:color w:val="000000"/>
          <w:sz w:val="28"/>
          <w:szCs w:val="28"/>
          <w:u w:val="single"/>
          <w:lang w:eastAsia="zh-Hans"/>
        </w:rPr>
        <w:t>，</w:t>
      </w:r>
      <w:r>
        <w:rPr>
          <w:rFonts w:hint="default" w:ascii="宋体" w:hAnsi="宋体"/>
          <w:bCs/>
          <w:sz w:val="28"/>
          <w:szCs w:val="28"/>
          <w:u w:val="single"/>
        </w:rPr>
        <w:t>若已参加</w:t>
      </w:r>
      <w:r>
        <w:rPr>
          <w:rFonts w:hint="eastAsia" w:ascii="宋体" w:hAnsi="宋体"/>
          <w:bCs/>
          <w:sz w:val="28"/>
          <w:szCs w:val="28"/>
          <w:u w:val="single"/>
          <w:lang w:eastAsia="zh-CN"/>
        </w:rPr>
        <w:t>“</w:t>
      </w:r>
      <w:r>
        <w:rPr>
          <w:rFonts w:hint="eastAsia" w:ascii="宋体" w:hAnsi="宋体" w:cs="宋体"/>
          <w:sz w:val="28"/>
          <w:szCs w:val="28"/>
          <w:u w:val="single"/>
        </w:rPr>
        <w:t>渝开发2024年年度市场监测咨询服务合作</w:t>
      </w:r>
      <w:r>
        <w:rPr>
          <w:rFonts w:ascii="宋体" w:hAnsi="宋体" w:cs="宋体"/>
          <w:sz w:val="28"/>
          <w:szCs w:val="28"/>
          <w:u w:val="single"/>
        </w:rPr>
        <w:t>单位</w:t>
      </w:r>
      <w:r>
        <w:rPr>
          <w:rFonts w:hint="eastAsia" w:ascii="宋体" w:hAnsi="宋体" w:cs="宋体"/>
          <w:sz w:val="28"/>
          <w:szCs w:val="28"/>
          <w:u w:val="single"/>
        </w:rPr>
        <w:t>竞争性比选</w:t>
      </w:r>
      <w:r>
        <w:rPr>
          <w:rFonts w:hint="eastAsia" w:ascii="宋体" w:hAnsi="宋体" w:cs="宋体"/>
          <w:sz w:val="28"/>
          <w:szCs w:val="28"/>
          <w:u w:val="single"/>
          <w:lang w:eastAsia="zh-CN"/>
        </w:rPr>
        <w:t>”</w:t>
      </w:r>
      <w:r>
        <w:rPr>
          <w:rFonts w:hint="default" w:ascii="宋体" w:hAnsi="宋体"/>
          <w:bCs/>
          <w:sz w:val="28"/>
          <w:szCs w:val="28"/>
          <w:u w:val="single"/>
        </w:rPr>
        <w:t>并按原比选文件规定交纳了参选保证金的参选人，再次参加本次</w:t>
      </w:r>
      <w:r>
        <w:rPr>
          <w:rFonts w:hint="eastAsia" w:ascii="宋体" w:hAnsi="宋体"/>
          <w:bCs/>
          <w:sz w:val="28"/>
          <w:szCs w:val="28"/>
          <w:u w:val="single"/>
          <w:lang w:val="en-US" w:eastAsia="zh-Hans"/>
        </w:rPr>
        <w:t>比选</w:t>
      </w:r>
      <w:r>
        <w:rPr>
          <w:rFonts w:hint="default" w:ascii="宋体" w:hAnsi="宋体"/>
          <w:bCs/>
          <w:sz w:val="28"/>
          <w:szCs w:val="28"/>
          <w:u w:val="single"/>
        </w:rPr>
        <w:t>可将参选保证金自动转换为</w:t>
      </w:r>
      <w:r>
        <w:rPr>
          <w:rFonts w:hint="eastAsia" w:ascii="宋体" w:hAnsi="宋体" w:cs="宋体"/>
          <w:sz w:val="28"/>
          <w:szCs w:val="28"/>
          <w:u w:val="single"/>
        </w:rPr>
        <w:t>渝开发2024年年度市场监测咨询服务合作</w:t>
      </w:r>
      <w:r>
        <w:rPr>
          <w:rFonts w:ascii="宋体" w:hAnsi="宋体" w:cs="宋体"/>
          <w:sz w:val="28"/>
          <w:szCs w:val="28"/>
          <w:u w:val="single"/>
        </w:rPr>
        <w:t>单位</w:t>
      </w:r>
      <w:r>
        <w:rPr>
          <w:rFonts w:hint="eastAsia" w:ascii="宋体" w:hAnsi="宋体" w:cs="宋体"/>
          <w:sz w:val="28"/>
          <w:szCs w:val="28"/>
          <w:u w:val="single"/>
        </w:rPr>
        <w:t>竞争性</w:t>
      </w:r>
      <w:r>
        <w:rPr>
          <w:rFonts w:hint="eastAsia" w:ascii="宋体" w:hAnsi="宋体" w:cs="宋体"/>
          <w:sz w:val="28"/>
          <w:szCs w:val="28"/>
          <w:u w:val="single"/>
          <w:lang w:val="en-US" w:eastAsia="zh-CN"/>
        </w:rPr>
        <w:t>比选</w:t>
      </w:r>
      <w:r>
        <w:rPr>
          <w:rFonts w:hint="default" w:ascii="宋体" w:hAnsi="宋体"/>
          <w:bCs/>
          <w:sz w:val="28"/>
          <w:szCs w:val="28"/>
          <w:u w:val="single"/>
        </w:rPr>
        <w:t>参选保证金</w:t>
      </w:r>
      <w:r>
        <w:rPr>
          <w:rFonts w:hint="eastAsia" w:ascii="宋体" w:hAnsi="宋体"/>
          <w:bCs/>
          <w:sz w:val="28"/>
          <w:szCs w:val="28"/>
          <w:u w:val="single"/>
        </w:rPr>
        <w:t>。</w:t>
      </w:r>
      <w:r>
        <w:rPr>
          <w:rFonts w:hint="eastAsia" w:ascii="宋体" w:hAnsi="宋体"/>
          <w:bCs/>
          <w:color w:val="000000"/>
          <w:sz w:val="28"/>
          <w:szCs w:val="28"/>
          <w:u w:val="single"/>
          <w:lang w:eastAsia="zh-Hans"/>
        </w:rPr>
        <w:t>且</w:t>
      </w:r>
      <w:r>
        <w:rPr>
          <w:rFonts w:hint="eastAsia" w:ascii="宋体" w:hAnsi="宋体"/>
          <w:bCs/>
          <w:color w:val="000000"/>
          <w:sz w:val="28"/>
          <w:szCs w:val="28"/>
          <w:u w:val="single"/>
        </w:rPr>
        <w:t>须提交报价保证金汇款凭证复印件加盖参选人公章，原件备查</w:t>
      </w:r>
      <w:r>
        <w:rPr>
          <w:rFonts w:hint="eastAsia" w:ascii="宋体" w:hAnsi="宋体"/>
          <w:bCs/>
          <w:color w:val="000000"/>
          <w:sz w:val="28"/>
          <w:szCs w:val="28"/>
          <w:u w:val="single"/>
          <w:lang w:eastAsia="zh-CN"/>
        </w:rPr>
        <w:t>。</w:t>
      </w:r>
    </w:p>
    <w:p w14:paraId="31E261C4">
      <w:pPr>
        <w:pStyle w:val="11"/>
      </w:pPr>
    </w:p>
    <w:p w14:paraId="3C6AD0EB">
      <w:pPr>
        <w:spacing w:line="360" w:lineRule="auto"/>
        <w:rPr>
          <w:rFonts w:hint="eastAsia" w:ascii="宋体" w:hAnsi="宋体"/>
          <w:bCs/>
          <w:sz w:val="28"/>
          <w:szCs w:val="28"/>
        </w:rPr>
      </w:pPr>
      <w:r>
        <w:rPr>
          <w:rFonts w:hint="eastAsia" w:ascii="宋体" w:hAnsi="宋体" w:cs="宋体"/>
          <w:bCs/>
          <w:sz w:val="28"/>
          <w:szCs w:val="28"/>
        </w:rPr>
        <w:t xml:space="preserve"> (二）</w:t>
      </w:r>
      <w:r>
        <w:rPr>
          <w:rFonts w:hint="eastAsia" w:ascii="宋体" w:hAnsi="宋体"/>
          <w:bCs/>
          <w:sz w:val="28"/>
          <w:szCs w:val="28"/>
        </w:rPr>
        <w:t>比选人向中选人发出中选通知书且与中选人签订合同之日起十个工作日内无息全额退还未中选人缴纳的参选保证金。</w:t>
      </w:r>
    </w:p>
    <w:p w14:paraId="38972759">
      <w:pPr>
        <w:adjustRightInd w:val="0"/>
        <w:snapToGrid w:val="0"/>
        <w:spacing w:line="360" w:lineRule="auto"/>
        <w:rPr>
          <w:rFonts w:hint="eastAsia" w:ascii="宋体" w:hAnsi="宋体" w:cs="宋体"/>
          <w:b/>
          <w:sz w:val="28"/>
          <w:szCs w:val="28"/>
        </w:rPr>
      </w:pPr>
      <w:r>
        <w:rPr>
          <w:rFonts w:hint="eastAsia" w:ascii="宋体" w:hAnsi="宋体" w:cs="宋体"/>
          <w:b/>
          <w:sz w:val="28"/>
          <w:szCs w:val="28"/>
        </w:rPr>
        <w:t>三、 合作要求</w:t>
      </w:r>
    </w:p>
    <w:p w14:paraId="71CD2FD1">
      <w:pPr>
        <w:spacing w:line="360" w:lineRule="auto"/>
        <w:rPr>
          <w:rFonts w:hint="eastAsia" w:ascii="宋体" w:hAnsi="宋体"/>
          <w:b/>
          <w:bCs/>
          <w:sz w:val="28"/>
          <w:szCs w:val="28"/>
        </w:rPr>
      </w:pPr>
      <w:r>
        <w:rPr>
          <w:rFonts w:hint="eastAsia" w:ascii="宋体" w:hAnsi="宋体"/>
          <w:b/>
          <w:bCs/>
          <w:sz w:val="28"/>
          <w:szCs w:val="28"/>
        </w:rPr>
        <w:t xml:space="preserve"> （一）履约保证金：0.5万元</w:t>
      </w:r>
    </w:p>
    <w:p w14:paraId="49A621A8">
      <w:pPr>
        <w:spacing w:line="360" w:lineRule="auto"/>
        <w:ind w:firstLine="560" w:firstLineChars="200"/>
        <w:rPr>
          <w:rFonts w:hint="eastAsia" w:ascii="宋体" w:hAnsi="宋体"/>
          <w:sz w:val="28"/>
          <w:szCs w:val="28"/>
        </w:rPr>
      </w:pPr>
      <w:r>
        <w:rPr>
          <w:rFonts w:hint="eastAsia" w:ascii="宋体" w:hAnsi="宋体"/>
          <w:bCs/>
          <w:sz w:val="28"/>
          <w:szCs w:val="28"/>
        </w:rPr>
        <w:t>1、</w:t>
      </w:r>
      <w:r>
        <w:rPr>
          <w:rFonts w:hint="eastAsia" w:ascii="宋体" w:hAnsi="宋体"/>
          <w:sz w:val="28"/>
          <w:szCs w:val="28"/>
        </w:rPr>
        <w:t>自比选人发出中选通知书之日起，中选人支付的0.5万元参选保证金自动转为履约保证金。</w:t>
      </w:r>
    </w:p>
    <w:p w14:paraId="7A936AA9">
      <w:pPr>
        <w:spacing w:line="360" w:lineRule="auto"/>
        <w:ind w:firstLine="560" w:firstLineChars="200"/>
        <w:rPr>
          <w:rFonts w:hint="eastAsia" w:ascii="宋体" w:hAnsi="宋体"/>
          <w:sz w:val="28"/>
          <w:szCs w:val="28"/>
        </w:rPr>
      </w:pPr>
      <w:r>
        <w:rPr>
          <w:rFonts w:hint="eastAsia" w:ascii="宋体" w:hAnsi="宋体"/>
          <w:sz w:val="28"/>
          <w:szCs w:val="28"/>
        </w:rPr>
        <w:t>2、</w:t>
      </w:r>
      <w:r>
        <w:rPr>
          <w:rFonts w:hint="eastAsia" w:ascii="宋体" w:hAnsi="宋体"/>
          <w:bCs/>
          <w:sz w:val="28"/>
          <w:szCs w:val="28"/>
        </w:rPr>
        <w:t>合同期满且完成合同结算后，30日内无息退还履约保证金。</w:t>
      </w:r>
    </w:p>
    <w:p w14:paraId="69C7D065">
      <w:pPr>
        <w:tabs>
          <w:tab w:val="left" w:pos="210"/>
          <w:tab w:val="left" w:pos="420"/>
        </w:tabs>
        <w:adjustRightInd w:val="0"/>
        <w:snapToGrid w:val="0"/>
        <w:spacing w:line="360" w:lineRule="auto"/>
        <w:rPr>
          <w:rFonts w:hint="eastAsia" w:ascii="宋体" w:hAnsi="宋体" w:cs="宋体"/>
          <w:b/>
          <w:bCs/>
          <w:sz w:val="28"/>
          <w:szCs w:val="28"/>
        </w:rPr>
      </w:pPr>
      <w:r>
        <w:rPr>
          <w:rFonts w:hint="eastAsia" w:ascii="方正仿宋_GBK" w:hAnsi="微软雅黑"/>
          <w:sz w:val="28"/>
          <w:szCs w:val="28"/>
        </w:rPr>
        <w:t xml:space="preserve">  </w:t>
      </w:r>
      <w:r>
        <w:rPr>
          <w:rFonts w:hint="eastAsia" w:ascii="宋体" w:hAnsi="宋体" w:cs="宋体"/>
          <w:b/>
          <w:bCs/>
          <w:sz w:val="28"/>
          <w:szCs w:val="28"/>
        </w:rPr>
        <w:t>（二）报价限价</w:t>
      </w:r>
    </w:p>
    <w:p w14:paraId="265D85C3">
      <w:pPr>
        <w:numPr>
          <w:ilvl w:val="0"/>
          <w:numId w:val="6"/>
        </w:numPr>
        <w:adjustRightInd w:val="0"/>
        <w:snapToGrid w:val="0"/>
        <w:spacing w:line="360" w:lineRule="auto"/>
        <w:ind w:firstLine="560"/>
        <w:rPr>
          <w:rFonts w:hint="eastAsia" w:ascii="宋体" w:hAnsi="宋体" w:cs="宋体"/>
          <w:sz w:val="28"/>
          <w:szCs w:val="28"/>
        </w:rPr>
      </w:pPr>
      <w:r>
        <w:rPr>
          <w:rFonts w:hint="eastAsia" w:ascii="宋体" w:hAnsi="宋体" w:cs="宋体"/>
          <w:sz w:val="28"/>
          <w:szCs w:val="28"/>
        </w:rPr>
        <w:t>本次比选报价</w:t>
      </w:r>
      <w:r>
        <w:rPr>
          <w:rFonts w:hint="eastAsia" w:ascii="宋体" w:hAnsi="宋体" w:cs="宋体"/>
          <w:bCs/>
          <w:sz w:val="28"/>
          <w:szCs w:val="28"/>
        </w:rPr>
        <w:t>总价最高限价为</w:t>
      </w:r>
      <w:r>
        <w:rPr>
          <w:rFonts w:hint="eastAsia" w:ascii="宋体" w:hAnsi="宋体" w:cs="宋体"/>
          <w:bCs/>
          <w:sz w:val="28"/>
          <w:szCs w:val="28"/>
          <w:u w:val="single"/>
        </w:rPr>
        <w:t xml:space="preserve"> </w:t>
      </w:r>
      <w:r>
        <w:rPr>
          <w:rFonts w:hint="eastAsia" w:ascii="宋体" w:hAnsi="宋体" w:cs="宋体"/>
          <w:sz w:val="28"/>
          <w:szCs w:val="28"/>
          <w:u w:val="single"/>
        </w:rPr>
        <w:t xml:space="preserve">100000 </w:t>
      </w:r>
      <w:r>
        <w:rPr>
          <w:rFonts w:hint="eastAsia" w:ascii="宋体" w:hAnsi="宋体" w:cs="宋体"/>
          <w:bCs/>
          <w:sz w:val="28"/>
          <w:szCs w:val="28"/>
          <w:u w:val="single"/>
        </w:rPr>
        <w:t xml:space="preserve"> </w:t>
      </w:r>
      <w:r>
        <w:rPr>
          <w:rFonts w:hint="eastAsia" w:ascii="宋体" w:hAnsi="宋体" w:cs="宋体"/>
          <w:sz w:val="28"/>
          <w:szCs w:val="28"/>
        </w:rPr>
        <w:t>元/年（大写：</w:t>
      </w:r>
      <w:r>
        <w:rPr>
          <w:rFonts w:hint="eastAsia" w:ascii="宋体" w:hAnsi="宋体" w:cs="宋体"/>
          <w:sz w:val="28"/>
          <w:szCs w:val="28"/>
          <w:u w:val="single"/>
        </w:rPr>
        <w:t xml:space="preserve"> 壹拾万元整  </w:t>
      </w:r>
      <w:r>
        <w:rPr>
          <w:rFonts w:hint="eastAsia" w:ascii="宋体" w:hAnsi="宋体" w:cs="宋体"/>
          <w:sz w:val="28"/>
          <w:szCs w:val="28"/>
        </w:rPr>
        <w:t>）</w:t>
      </w:r>
      <w:r>
        <w:rPr>
          <w:rFonts w:hint="eastAsia" w:ascii="宋体" w:hAnsi="宋体"/>
          <w:bCs/>
          <w:sz w:val="28"/>
          <w:szCs w:val="28"/>
        </w:rPr>
        <w:t>；</w:t>
      </w:r>
    </w:p>
    <w:p w14:paraId="394BA819">
      <w:pPr>
        <w:spacing w:line="360" w:lineRule="auto"/>
        <w:jc w:val="left"/>
        <w:rPr>
          <w:rFonts w:hint="eastAsia" w:ascii="宋体" w:hAnsi="宋体"/>
          <w:bCs/>
          <w:sz w:val="28"/>
          <w:szCs w:val="28"/>
        </w:rPr>
      </w:pPr>
      <w:r>
        <w:rPr>
          <w:rFonts w:hint="eastAsia" w:ascii="宋体" w:hAnsi="宋体" w:cs="宋体"/>
          <w:bCs/>
          <w:sz w:val="28"/>
          <w:szCs w:val="28"/>
        </w:rPr>
        <w:t xml:space="preserve">   </w:t>
      </w:r>
      <w:r>
        <w:rPr>
          <w:rFonts w:hint="eastAsia" w:ascii="宋体" w:hAnsi="宋体"/>
          <w:bCs/>
          <w:sz w:val="28"/>
          <w:szCs w:val="28"/>
        </w:rPr>
        <w:t xml:space="preserve"> 2、比选人应依据本次比选文件要求认真填写附件2《报价书》及附件3《</w:t>
      </w:r>
      <w:r>
        <w:rPr>
          <w:rFonts w:hint="eastAsia" w:ascii="宋体" w:hAnsi="宋体" w:cs="宋体"/>
          <w:bCs/>
          <w:sz w:val="28"/>
          <w:szCs w:val="28"/>
        </w:rPr>
        <w:t>渝开发</w:t>
      </w:r>
      <w:r>
        <w:rPr>
          <w:rFonts w:hint="eastAsia" w:ascii="宋体" w:hAnsi="宋体" w:cs="宋体"/>
          <w:sz w:val="28"/>
          <w:szCs w:val="28"/>
        </w:rPr>
        <w:t>2024年年度市场监测咨询服务工作内容</w:t>
      </w:r>
      <w:r>
        <w:rPr>
          <w:rFonts w:hint="eastAsia" w:ascii="宋体" w:hAnsi="宋体"/>
          <w:bCs/>
          <w:sz w:val="28"/>
          <w:szCs w:val="28"/>
        </w:rPr>
        <w:t>》；</w:t>
      </w:r>
    </w:p>
    <w:p w14:paraId="113BBA64">
      <w:pPr>
        <w:spacing w:line="360" w:lineRule="auto"/>
        <w:rPr>
          <w:rFonts w:hint="eastAsia" w:ascii="宋体" w:hAnsi="宋体" w:cs="宋体"/>
          <w:bCs/>
          <w:sz w:val="28"/>
          <w:szCs w:val="28"/>
        </w:rPr>
      </w:pPr>
      <w:r>
        <w:rPr>
          <w:rFonts w:hint="eastAsia" w:ascii="宋体" w:hAnsi="宋体"/>
          <w:bCs/>
          <w:sz w:val="28"/>
          <w:szCs w:val="28"/>
        </w:rPr>
        <w:t xml:space="preserve">    3、报价方式：全密封报价。《报价书》与《</w:t>
      </w:r>
      <w:r>
        <w:rPr>
          <w:rFonts w:hint="eastAsia" w:ascii="宋体" w:hAnsi="宋体" w:cs="宋体"/>
          <w:bCs/>
          <w:sz w:val="28"/>
          <w:szCs w:val="28"/>
        </w:rPr>
        <w:t>渝开发</w:t>
      </w:r>
      <w:r>
        <w:rPr>
          <w:rFonts w:hint="eastAsia" w:ascii="宋体" w:hAnsi="宋体" w:cs="宋体"/>
          <w:sz w:val="28"/>
          <w:szCs w:val="28"/>
        </w:rPr>
        <w:t>2024年年度市场监测咨询服务工作内容</w:t>
      </w:r>
      <w:r>
        <w:rPr>
          <w:rFonts w:hint="eastAsia" w:ascii="宋体" w:hAnsi="宋体"/>
          <w:bCs/>
          <w:sz w:val="28"/>
          <w:szCs w:val="28"/>
        </w:rPr>
        <w:t>》落款比选人签章处，应加盖单位鲜章与法定代表人或授权委托人签字。具体装订要求详见“第四条比选文件的编制”。</w:t>
      </w:r>
    </w:p>
    <w:p w14:paraId="43727C34">
      <w:pPr>
        <w:tabs>
          <w:tab w:val="left" w:pos="420"/>
        </w:tabs>
        <w:adjustRightInd w:val="0"/>
        <w:snapToGrid w:val="0"/>
        <w:spacing w:line="360" w:lineRule="auto"/>
        <w:ind w:firstLine="560"/>
        <w:rPr>
          <w:rFonts w:hint="eastAsia" w:ascii="宋体" w:hAnsi="宋体"/>
          <w:bCs/>
          <w:sz w:val="28"/>
          <w:szCs w:val="28"/>
        </w:rPr>
      </w:pPr>
      <w:r>
        <w:rPr>
          <w:rFonts w:hint="eastAsia" w:ascii="宋体" w:hAnsi="宋体" w:cs="宋体"/>
          <w:bCs/>
          <w:sz w:val="28"/>
          <w:szCs w:val="28"/>
        </w:rPr>
        <w:t>4、报价</w:t>
      </w:r>
      <w:r>
        <w:rPr>
          <w:rFonts w:hint="eastAsia" w:ascii="宋体" w:hAnsi="宋体" w:cs="宋体"/>
          <w:sz w:val="28"/>
          <w:szCs w:val="28"/>
        </w:rPr>
        <w:t>总价为含税包干价。</w:t>
      </w:r>
    </w:p>
    <w:p w14:paraId="0315D3F7">
      <w:pPr>
        <w:pStyle w:val="11"/>
        <w:ind w:firstLine="560"/>
      </w:pPr>
    </w:p>
    <w:p w14:paraId="25516FB4">
      <w:pPr>
        <w:spacing w:line="360" w:lineRule="auto"/>
        <w:rPr>
          <w:rFonts w:hint="eastAsia" w:ascii="宋体" w:hAnsi="宋体"/>
          <w:b/>
          <w:sz w:val="28"/>
          <w:szCs w:val="28"/>
        </w:rPr>
      </w:pPr>
      <w:r>
        <w:rPr>
          <w:rFonts w:hint="eastAsia" w:ascii="宋体" w:hAnsi="宋体" w:cs="宋体"/>
          <w:b/>
          <w:bCs/>
          <w:sz w:val="28"/>
          <w:szCs w:val="28"/>
        </w:rPr>
        <w:t xml:space="preserve">   （四）、低价风险保证金及退付标准</w:t>
      </w:r>
    </w:p>
    <w:p w14:paraId="19C22F8F">
      <w:pPr>
        <w:tabs>
          <w:tab w:val="left" w:pos="420"/>
        </w:tabs>
        <w:adjustRightInd w:val="0"/>
        <w:snapToGrid w:val="0"/>
        <w:spacing w:line="360" w:lineRule="auto"/>
        <w:ind w:firstLine="560"/>
        <w:rPr>
          <w:rFonts w:hint="eastAsia" w:ascii="宋体" w:hAnsi="宋体" w:cs="宋体"/>
          <w:sz w:val="28"/>
          <w:szCs w:val="28"/>
        </w:rPr>
      </w:pPr>
      <w:r>
        <w:rPr>
          <w:rFonts w:hint="eastAsia" w:ascii="宋体" w:hAnsi="宋体" w:cs="宋体"/>
          <w:sz w:val="28"/>
          <w:szCs w:val="28"/>
        </w:rPr>
        <w:t>1、 为避免恶意报低价格，中选人的中选报价低于此次比选最高限价85%，则中选人须缴纳低价风险保证金，计算公式为：（最高限价×85%-中标价）×3）</w:t>
      </w:r>
    </w:p>
    <w:p w14:paraId="13DCA9B5">
      <w:pPr>
        <w:tabs>
          <w:tab w:val="left" w:pos="420"/>
        </w:tabs>
        <w:adjustRightInd w:val="0"/>
        <w:snapToGrid w:val="0"/>
        <w:spacing w:line="360" w:lineRule="auto"/>
        <w:ind w:firstLine="560"/>
        <w:rPr>
          <w:rFonts w:hint="eastAsia" w:ascii="宋体" w:hAnsi="宋体" w:cs="宋体"/>
          <w:sz w:val="28"/>
          <w:szCs w:val="28"/>
        </w:rPr>
      </w:pPr>
      <w:r>
        <w:rPr>
          <w:rFonts w:hint="eastAsia" w:ascii="宋体" w:hAnsi="宋体" w:cs="宋体"/>
          <w:sz w:val="28"/>
          <w:szCs w:val="28"/>
        </w:rPr>
        <w:t>2、合同期满一年且完成合同结算后，30个工作日内无息退还低价风险保证金。</w:t>
      </w:r>
    </w:p>
    <w:p w14:paraId="77997C65">
      <w:pPr>
        <w:tabs>
          <w:tab w:val="left" w:pos="210"/>
          <w:tab w:val="left" w:pos="420"/>
        </w:tabs>
        <w:adjustRightInd w:val="0"/>
        <w:snapToGrid w:val="0"/>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 xml:space="preserve">（五）付款进度 </w:t>
      </w:r>
    </w:p>
    <w:p w14:paraId="6430FB17">
      <w:pPr>
        <w:numPr>
          <w:ilvl w:val="0"/>
          <w:numId w:val="7"/>
        </w:numPr>
        <w:spacing w:line="360" w:lineRule="auto"/>
        <w:ind w:firstLine="560"/>
      </w:pPr>
      <w:r>
        <w:rPr>
          <w:rFonts w:hint="eastAsia" w:ascii="宋体" w:hAnsi="宋体" w:cs="宋体"/>
          <w:sz w:val="28"/>
          <w:szCs w:val="28"/>
        </w:rPr>
        <w:t>按季度付款，每个季度第一个月10日中选人向比选人提供季度工作成果报告，经比选人书面签字确认后，由比选人向中选人支付上一个季度总费用。</w:t>
      </w:r>
    </w:p>
    <w:p w14:paraId="4D09B756">
      <w:pPr>
        <w:numPr>
          <w:ilvl w:val="0"/>
          <w:numId w:val="7"/>
        </w:numPr>
        <w:spacing w:line="360" w:lineRule="auto"/>
        <w:ind w:firstLine="560"/>
        <w:rPr>
          <w:rFonts w:hint="eastAsia" w:ascii="宋体" w:hAnsi="宋体" w:cs="宋体"/>
          <w:sz w:val="28"/>
          <w:szCs w:val="28"/>
        </w:rPr>
      </w:pPr>
      <w:r>
        <w:rPr>
          <w:rFonts w:hint="eastAsia" w:ascii="宋体" w:hAnsi="宋体" w:cs="宋体"/>
          <w:sz w:val="28"/>
          <w:szCs w:val="28"/>
        </w:rPr>
        <w:t>比选人向中选人支付款项前，中选人需向比选人提供合规的增值税专用发票，否则，比选人有权不予付款且不承担逾期付款的违约责任。</w:t>
      </w:r>
    </w:p>
    <w:p w14:paraId="1166F41D">
      <w:pPr>
        <w:spacing w:line="360" w:lineRule="auto"/>
        <w:ind w:firstLine="560"/>
        <w:rPr>
          <w:rFonts w:hint="eastAsia" w:ascii="宋体" w:hAnsi="宋体" w:cs="宋体"/>
          <w:sz w:val="28"/>
          <w:szCs w:val="28"/>
        </w:rPr>
      </w:pPr>
      <w:r>
        <w:rPr>
          <w:rFonts w:hint="eastAsia" w:ascii="宋体" w:hAnsi="宋体" w:cs="宋体"/>
          <w:kern w:val="0"/>
          <w:sz w:val="28"/>
          <w:szCs w:val="28"/>
          <w:lang w:bidi="ar"/>
        </w:rPr>
        <w:t>3、</w:t>
      </w:r>
      <w:r>
        <w:rPr>
          <w:rFonts w:hint="eastAsia" w:ascii="宋体" w:hAnsi="宋体" w:cs="宋体"/>
          <w:sz w:val="28"/>
          <w:szCs w:val="28"/>
        </w:rPr>
        <w:t>比选人可根据公司实际需求，有权单方面书面通知中选人暂停服务，且停止支付暂停服务期间的服务费，直至书面通知恢复服务。</w:t>
      </w:r>
    </w:p>
    <w:p w14:paraId="557DC65E">
      <w:pPr>
        <w:spacing w:line="360" w:lineRule="auto"/>
        <w:rPr>
          <w:rFonts w:hint="eastAsia" w:ascii="宋体" w:hAnsi="宋体" w:cs="宋体"/>
          <w:bCs/>
          <w:sz w:val="28"/>
          <w:szCs w:val="28"/>
        </w:rPr>
      </w:pPr>
      <w:r>
        <w:rPr>
          <w:rFonts w:hint="eastAsia" w:ascii="宋体" w:hAnsi="宋体" w:cs="宋体"/>
          <w:b/>
          <w:sz w:val="28"/>
          <w:szCs w:val="28"/>
        </w:rPr>
        <w:t>第三条  日程安排</w:t>
      </w:r>
    </w:p>
    <w:p w14:paraId="67FE9D5F">
      <w:pPr>
        <w:tabs>
          <w:tab w:val="left" w:pos="8080"/>
          <w:tab w:val="left" w:pos="8789"/>
        </w:tabs>
        <w:spacing w:line="360" w:lineRule="auto"/>
        <w:rPr>
          <w:rFonts w:hint="eastAsia" w:ascii="宋体" w:hAnsi="宋体" w:cs="宋体"/>
          <w:bCs/>
          <w:sz w:val="28"/>
          <w:szCs w:val="28"/>
        </w:rPr>
      </w:pPr>
      <w:r>
        <w:rPr>
          <w:rFonts w:hint="eastAsia" w:ascii="宋体" w:hAnsi="宋体" w:cs="宋体"/>
          <w:b/>
          <w:bCs/>
          <w:sz w:val="28"/>
          <w:szCs w:val="28"/>
        </w:rPr>
        <w:t>一、比选文件的获取</w:t>
      </w:r>
    </w:p>
    <w:p w14:paraId="325574A9">
      <w:pPr>
        <w:spacing w:line="360" w:lineRule="auto"/>
        <w:ind w:firstLine="560" w:firstLineChars="200"/>
        <w:rPr>
          <w:rFonts w:hint="eastAsia" w:ascii="宋体" w:hAnsi="宋体"/>
          <w:b/>
          <w:sz w:val="28"/>
          <w:szCs w:val="28"/>
        </w:rPr>
      </w:pPr>
      <w:r>
        <w:rPr>
          <w:rFonts w:hint="eastAsia" w:ascii="宋体" w:hAnsi="宋体"/>
          <w:bCs/>
          <w:sz w:val="28"/>
          <w:szCs w:val="28"/>
        </w:rPr>
        <w:t>凡有意参加参选的单位在重庆渝开发股份有限公司网站（</w:t>
      </w:r>
      <w:r>
        <w:fldChar w:fldCharType="begin"/>
      </w:r>
      <w:r>
        <w:instrText xml:space="preserve"> HYPERLINK "http://www.cqukf.com" </w:instrText>
      </w:r>
      <w:r>
        <w:fldChar w:fldCharType="separate"/>
      </w:r>
      <w:r>
        <w:rPr>
          <w:rFonts w:ascii="宋体" w:hAnsi="宋体"/>
          <w:sz w:val="28"/>
          <w:szCs w:val="28"/>
        </w:rPr>
        <w:t>www.cqukf.com</w:t>
      </w:r>
      <w:r>
        <w:rPr>
          <w:rFonts w:ascii="宋体" w:hAnsi="宋体"/>
          <w:sz w:val="28"/>
          <w:szCs w:val="28"/>
        </w:rPr>
        <w:fldChar w:fldCharType="end"/>
      </w:r>
      <w:r>
        <w:rPr>
          <w:rFonts w:hint="eastAsia" w:ascii="宋体" w:hAnsi="宋体"/>
          <w:bCs/>
          <w:sz w:val="28"/>
          <w:szCs w:val="28"/>
        </w:rPr>
        <w:t>）、中国采购与招标网（</w:t>
      </w:r>
      <w:r>
        <w:rPr>
          <w:rFonts w:ascii="宋体" w:hAnsi="宋体"/>
          <w:bCs/>
          <w:sz w:val="28"/>
          <w:szCs w:val="28"/>
        </w:rPr>
        <w:t>www.chinabidding.com.cn</w:t>
      </w:r>
      <w:r>
        <w:rPr>
          <w:rFonts w:hint="eastAsia" w:ascii="宋体" w:hAnsi="宋体"/>
          <w:bCs/>
          <w:sz w:val="28"/>
          <w:szCs w:val="28"/>
        </w:rPr>
        <w:t>）、</w:t>
      </w:r>
      <w:r>
        <w:rPr>
          <w:rFonts w:ascii="宋体" w:hAnsi="宋体"/>
          <w:bCs/>
          <w:sz w:val="28"/>
          <w:szCs w:val="28"/>
        </w:rPr>
        <w:t>云采购网</w:t>
      </w:r>
      <w:r>
        <w:rPr>
          <w:rFonts w:hint="eastAsia" w:ascii="宋体" w:hAnsi="宋体"/>
          <w:bCs/>
          <w:sz w:val="28"/>
          <w:szCs w:val="28"/>
        </w:rPr>
        <w:t>（</w:t>
      </w:r>
      <w:r>
        <w:rPr>
          <w:rFonts w:ascii="宋体" w:hAnsi="宋体"/>
          <w:bCs/>
          <w:sz w:val="28"/>
          <w:szCs w:val="28"/>
        </w:rPr>
        <w:t>www.mycaigou.com </w:t>
      </w:r>
      <w:r>
        <w:rPr>
          <w:rFonts w:hint="eastAsia" w:ascii="宋体" w:hAnsi="宋体"/>
          <w:bCs/>
          <w:sz w:val="28"/>
          <w:szCs w:val="28"/>
        </w:rPr>
        <w:t>）自行下载。</w:t>
      </w:r>
    </w:p>
    <w:p w14:paraId="62FBC666">
      <w:pPr>
        <w:adjustRightInd w:val="0"/>
        <w:snapToGrid w:val="0"/>
        <w:spacing w:line="360" w:lineRule="auto"/>
        <w:rPr>
          <w:rFonts w:hint="eastAsia" w:ascii="宋体" w:hAnsi="宋体" w:cs="宋体"/>
          <w:b/>
          <w:bCs/>
          <w:sz w:val="28"/>
          <w:szCs w:val="28"/>
        </w:rPr>
      </w:pPr>
      <w:r>
        <w:rPr>
          <w:rFonts w:hint="eastAsia" w:ascii="宋体" w:hAnsi="宋体" w:cs="宋体"/>
          <w:b/>
          <w:bCs/>
          <w:sz w:val="28"/>
          <w:szCs w:val="28"/>
        </w:rPr>
        <w:t>二、质疑和答疑</w:t>
      </w:r>
    </w:p>
    <w:p w14:paraId="66EB16FB">
      <w:pPr>
        <w:adjustRightInd w:val="0"/>
        <w:snapToGrid w:val="0"/>
        <w:spacing w:line="360" w:lineRule="auto"/>
        <w:ind w:firstLine="280" w:firstLineChars="100"/>
        <w:rPr>
          <w:rFonts w:hint="eastAsia" w:ascii="宋体" w:hAnsi="宋体" w:cs="宋体"/>
          <w:b/>
          <w:bCs/>
          <w:sz w:val="28"/>
          <w:szCs w:val="28"/>
        </w:rPr>
      </w:pPr>
      <w:r>
        <w:rPr>
          <w:rFonts w:hint="eastAsia" w:ascii="宋体" w:hAnsi="宋体" w:cs="宋体"/>
          <w:sz w:val="28"/>
          <w:szCs w:val="28"/>
        </w:rPr>
        <w:t>（一）</w:t>
      </w:r>
      <w:r>
        <w:rPr>
          <w:rFonts w:hint="eastAsia" w:ascii="宋体" w:hAnsi="宋体"/>
          <w:sz w:val="28"/>
          <w:szCs w:val="28"/>
        </w:rPr>
        <w:t>参选人</w:t>
      </w:r>
      <w:r>
        <w:rPr>
          <w:rFonts w:hint="eastAsia" w:ascii="宋体" w:hAnsi="宋体" w:cs="宋体"/>
          <w:sz w:val="28"/>
          <w:szCs w:val="28"/>
        </w:rPr>
        <w:t>获取比选文件后，应仔细检查比选文件所有内容，如有残缺或疑问等，应及时</w:t>
      </w:r>
      <w:r>
        <w:fldChar w:fldCharType="begin"/>
      </w:r>
      <w:r>
        <w:instrText xml:space="preserve"> HYPERLINK "http://www.csjichu.com" </w:instrText>
      </w:r>
      <w:r>
        <w:fldChar w:fldCharType="separate"/>
      </w:r>
      <w:r>
        <w:rPr>
          <w:rFonts w:hint="eastAsia" w:ascii="宋体" w:hAnsi="宋体" w:cs="宋体"/>
          <w:sz w:val="28"/>
          <w:szCs w:val="28"/>
        </w:rPr>
        <w:t>向比选人提出，</w:t>
      </w:r>
      <w:r>
        <w:rPr>
          <w:rFonts w:hint="eastAsia" w:ascii="宋体" w:hAnsi="宋体" w:cs="宋体"/>
          <w:sz w:val="28"/>
          <w:szCs w:val="28"/>
        </w:rPr>
        <w:fldChar w:fldCharType="end"/>
      </w:r>
      <w:r>
        <w:rPr>
          <w:rFonts w:hint="eastAsia" w:ascii="宋体" w:hAnsi="宋体" w:cs="宋体"/>
          <w:sz w:val="28"/>
          <w:szCs w:val="28"/>
        </w:rPr>
        <w:t>否则，由此引起的损失由</w:t>
      </w:r>
      <w:r>
        <w:rPr>
          <w:rFonts w:hint="eastAsia" w:ascii="宋体" w:hAnsi="宋体"/>
          <w:sz w:val="28"/>
          <w:szCs w:val="28"/>
        </w:rPr>
        <w:t>参选人</w:t>
      </w:r>
      <w:r>
        <w:rPr>
          <w:rFonts w:hint="eastAsia" w:ascii="宋体" w:hAnsi="宋体" w:cs="宋体"/>
          <w:sz w:val="28"/>
          <w:szCs w:val="28"/>
        </w:rPr>
        <w:t>自己承担。</w:t>
      </w:r>
    </w:p>
    <w:p w14:paraId="650EB1F3">
      <w:pPr>
        <w:adjustRightInd w:val="0"/>
        <w:snapToGrid w:val="0"/>
        <w:spacing w:line="360" w:lineRule="auto"/>
        <w:rPr>
          <w:rFonts w:hint="eastAsia" w:ascii="宋体" w:hAnsi="宋体" w:cs="宋体"/>
          <w:sz w:val="28"/>
          <w:szCs w:val="28"/>
        </w:rPr>
      </w:pPr>
      <w:r>
        <w:rPr>
          <w:rFonts w:hint="eastAsia" w:ascii="宋体" w:hAnsi="宋体" w:cs="宋体"/>
          <w:sz w:val="28"/>
          <w:szCs w:val="28"/>
        </w:rPr>
        <w:t xml:space="preserve">  （二）参选人提交书面质疑的截止时间：</w:t>
      </w:r>
      <w:r>
        <w:rPr>
          <w:rFonts w:hint="eastAsia" w:ascii="宋体" w:hAnsi="宋体" w:cs="宋体"/>
          <w:sz w:val="28"/>
          <w:szCs w:val="28"/>
          <w:u w:val="single"/>
        </w:rPr>
        <w:t xml:space="preserve">2024年 </w:t>
      </w:r>
      <w:r>
        <w:rPr>
          <w:rFonts w:hint="eastAsia" w:ascii="宋体" w:hAnsi="宋体" w:cs="宋体"/>
          <w:sz w:val="28"/>
          <w:szCs w:val="28"/>
          <w:u w:val="single"/>
          <w:lang w:val="en-US" w:eastAsia="zh-CN"/>
        </w:rPr>
        <w:t>10</w:t>
      </w:r>
      <w:r>
        <w:rPr>
          <w:rFonts w:hint="eastAsia" w:ascii="宋体" w:hAnsi="宋体" w:cs="宋体"/>
          <w:sz w:val="28"/>
          <w:szCs w:val="28"/>
          <w:u w:val="single"/>
        </w:rPr>
        <w:t>月</w:t>
      </w:r>
      <w:r>
        <w:rPr>
          <w:rFonts w:hint="eastAsia" w:ascii="宋体" w:hAnsi="宋体" w:cs="宋体"/>
          <w:sz w:val="28"/>
          <w:szCs w:val="28"/>
          <w:u w:val="single"/>
          <w:lang w:val="en-US" w:eastAsia="zh-CN"/>
        </w:rPr>
        <w:t>9</w:t>
      </w:r>
      <w:r>
        <w:rPr>
          <w:rFonts w:hint="eastAsia" w:ascii="宋体" w:hAnsi="宋体" w:cs="宋体"/>
          <w:sz w:val="28"/>
          <w:szCs w:val="28"/>
          <w:u w:val="single"/>
        </w:rPr>
        <w:t xml:space="preserve"> 日  12 点前</w:t>
      </w:r>
      <w:r>
        <w:rPr>
          <w:rFonts w:hint="eastAsia" w:ascii="宋体" w:hAnsi="宋体" w:cs="宋体"/>
          <w:sz w:val="28"/>
          <w:szCs w:val="28"/>
        </w:rPr>
        <w:t>，比选人联系地址：</w:t>
      </w:r>
      <w:r>
        <w:rPr>
          <w:rFonts w:hint="eastAsia" w:ascii="宋体" w:hAnsi="宋体" w:cs="宋体"/>
          <w:sz w:val="28"/>
          <w:szCs w:val="28"/>
          <w:u w:val="single"/>
        </w:rPr>
        <w:t xml:space="preserve">渝中区上清寺街道中山三路128号投资大厦2601室 </w:t>
      </w:r>
      <w:r>
        <w:rPr>
          <w:rFonts w:hint="eastAsia" w:ascii="宋体" w:hAnsi="宋体" w:cs="宋体"/>
          <w:sz w:val="28"/>
          <w:szCs w:val="28"/>
        </w:rPr>
        <w:t>，联系人及电话：</w:t>
      </w:r>
      <w:r>
        <w:rPr>
          <w:rFonts w:hint="eastAsia" w:ascii="宋体" w:hAnsi="宋体" w:cs="宋体"/>
          <w:sz w:val="28"/>
          <w:szCs w:val="28"/>
          <w:u w:val="single"/>
        </w:rPr>
        <w:t xml:space="preserve"> 张老师， 023-63263260 </w:t>
      </w:r>
      <w:r>
        <w:rPr>
          <w:rFonts w:hint="eastAsia" w:ascii="宋体" w:hAnsi="宋体" w:cs="宋体"/>
          <w:sz w:val="28"/>
          <w:szCs w:val="28"/>
        </w:rPr>
        <w:t xml:space="preserve"> ；</w:t>
      </w:r>
    </w:p>
    <w:p w14:paraId="008085E5">
      <w:pPr>
        <w:adjustRightInd w:val="0"/>
        <w:snapToGrid w:val="0"/>
        <w:spacing w:line="360" w:lineRule="auto"/>
        <w:rPr>
          <w:rFonts w:hint="eastAsia" w:ascii="宋体" w:hAnsi="宋体" w:cs="宋体"/>
          <w:sz w:val="28"/>
          <w:szCs w:val="28"/>
        </w:rPr>
      </w:pPr>
      <w:r>
        <w:rPr>
          <w:rFonts w:hint="eastAsia" w:ascii="宋体" w:hAnsi="宋体" w:cs="宋体"/>
          <w:sz w:val="28"/>
          <w:szCs w:val="28"/>
        </w:rPr>
        <w:t xml:space="preserve">  （三）比选人不举行现场答疑会，采取网络媒介答疑方式，答疑截止时间：</w:t>
      </w:r>
      <w:r>
        <w:rPr>
          <w:rFonts w:hint="eastAsia" w:ascii="宋体" w:hAnsi="宋体" w:cs="宋体"/>
          <w:sz w:val="28"/>
          <w:szCs w:val="28"/>
          <w:u w:val="single"/>
        </w:rPr>
        <w:t xml:space="preserve">2024年 </w:t>
      </w:r>
      <w:r>
        <w:rPr>
          <w:rFonts w:hint="eastAsia" w:ascii="宋体" w:hAnsi="宋体" w:cs="宋体"/>
          <w:sz w:val="28"/>
          <w:szCs w:val="28"/>
          <w:u w:val="single"/>
          <w:lang w:val="en-US" w:eastAsia="zh-CN"/>
        </w:rPr>
        <w:t>10</w:t>
      </w:r>
      <w:r>
        <w:rPr>
          <w:rFonts w:hint="eastAsia" w:ascii="宋体" w:hAnsi="宋体" w:cs="宋体"/>
          <w:sz w:val="28"/>
          <w:szCs w:val="28"/>
          <w:u w:val="single"/>
        </w:rPr>
        <w:t xml:space="preserve"> 月 </w:t>
      </w:r>
      <w:r>
        <w:rPr>
          <w:rFonts w:hint="eastAsia" w:ascii="宋体" w:hAnsi="宋体" w:cs="宋体"/>
          <w:sz w:val="28"/>
          <w:szCs w:val="28"/>
          <w:u w:val="single"/>
          <w:lang w:val="en-US" w:eastAsia="zh-CN"/>
        </w:rPr>
        <w:t>9</w:t>
      </w:r>
      <w:r>
        <w:rPr>
          <w:rFonts w:hint="eastAsia" w:ascii="宋体" w:hAnsi="宋体" w:cs="宋体"/>
          <w:sz w:val="28"/>
          <w:szCs w:val="28"/>
          <w:u w:val="single"/>
        </w:rPr>
        <w:t xml:space="preserve"> 日 12  点前</w:t>
      </w:r>
      <w:r>
        <w:rPr>
          <w:rFonts w:hint="eastAsia" w:ascii="宋体" w:hAnsi="宋体" w:cs="宋体"/>
          <w:sz w:val="28"/>
          <w:szCs w:val="28"/>
        </w:rPr>
        <w:t>，联系人及电话：</w:t>
      </w:r>
      <w:r>
        <w:rPr>
          <w:rFonts w:hint="eastAsia" w:ascii="宋体" w:hAnsi="宋体" w:cs="宋体"/>
          <w:sz w:val="28"/>
          <w:szCs w:val="28"/>
          <w:u w:val="single"/>
        </w:rPr>
        <w:t>张老师，023-63263260</w:t>
      </w:r>
      <w:r>
        <w:rPr>
          <w:rFonts w:hint="eastAsia" w:ascii="宋体" w:hAnsi="宋体" w:cs="宋体"/>
          <w:sz w:val="32"/>
          <w:szCs w:val="32"/>
        </w:rPr>
        <w:t xml:space="preserve"> </w:t>
      </w:r>
      <w:r>
        <w:rPr>
          <w:rFonts w:hint="eastAsia" w:ascii="宋体" w:hAnsi="宋体" w:cs="宋体"/>
          <w:sz w:val="28"/>
          <w:szCs w:val="28"/>
        </w:rPr>
        <w:t>；</w:t>
      </w:r>
    </w:p>
    <w:p w14:paraId="5286EF23">
      <w:pPr>
        <w:adjustRightInd w:val="0"/>
        <w:snapToGrid w:val="0"/>
        <w:spacing w:line="360" w:lineRule="auto"/>
        <w:rPr>
          <w:rFonts w:hint="eastAsia" w:ascii="宋体" w:hAnsi="宋体" w:cs="宋体"/>
          <w:sz w:val="28"/>
          <w:szCs w:val="28"/>
        </w:rPr>
      </w:pPr>
      <w:r>
        <w:rPr>
          <w:rFonts w:hint="eastAsia" w:ascii="宋体" w:hAnsi="宋体" w:cs="宋体"/>
          <w:sz w:val="28"/>
          <w:szCs w:val="28"/>
        </w:rPr>
        <w:t xml:space="preserve">  （四）比选人在比选期间所发出的答疑、纪要、补充通知或修订函件等，均是比选文件的组成部分，对</w:t>
      </w:r>
      <w:r>
        <w:rPr>
          <w:rFonts w:hint="eastAsia" w:ascii="宋体" w:hAnsi="宋体"/>
          <w:sz w:val="28"/>
          <w:szCs w:val="28"/>
        </w:rPr>
        <w:t>参选人</w:t>
      </w:r>
      <w:r>
        <w:rPr>
          <w:rFonts w:hint="eastAsia" w:ascii="宋体" w:hAnsi="宋体" w:cs="宋体"/>
          <w:sz w:val="28"/>
          <w:szCs w:val="28"/>
        </w:rPr>
        <w:t>起约束作用。</w:t>
      </w:r>
    </w:p>
    <w:p w14:paraId="5701FBB8">
      <w:pPr>
        <w:tabs>
          <w:tab w:val="left" w:pos="420"/>
        </w:tabs>
        <w:adjustRightInd w:val="0"/>
        <w:snapToGrid w:val="0"/>
        <w:spacing w:line="360" w:lineRule="auto"/>
        <w:rPr>
          <w:rFonts w:hint="eastAsia" w:ascii="宋体" w:hAnsi="宋体" w:cs="宋体"/>
          <w:sz w:val="28"/>
          <w:szCs w:val="28"/>
        </w:rPr>
      </w:pPr>
      <w:r>
        <w:rPr>
          <w:rFonts w:hint="eastAsia" w:ascii="宋体" w:hAnsi="宋体" w:cs="宋体"/>
          <w:sz w:val="28"/>
          <w:szCs w:val="28"/>
        </w:rPr>
        <w:t xml:space="preserve">  （五）比选文件、比选文件澄清、修改的内容，均以书面形式明确的内容为准。当比选文件、比选文件澄清、修改内容相互矛盾时，以最后发出的通知（或纪要）或修改文件为准；电话或口头咨询和答复的均不具有法律约束力。</w:t>
      </w:r>
    </w:p>
    <w:p w14:paraId="128D882A">
      <w:pPr>
        <w:spacing w:line="360" w:lineRule="auto"/>
        <w:rPr>
          <w:rFonts w:hint="eastAsia" w:ascii="宋体" w:hAnsi="宋体" w:cs="宋体"/>
          <w:b/>
          <w:sz w:val="28"/>
          <w:szCs w:val="28"/>
        </w:rPr>
      </w:pPr>
      <w:r>
        <w:rPr>
          <w:rFonts w:hint="eastAsia" w:ascii="宋体" w:hAnsi="宋体" w:cs="宋体"/>
          <w:b/>
          <w:sz w:val="28"/>
          <w:szCs w:val="28"/>
        </w:rPr>
        <w:t>三、参选文件递交</w:t>
      </w:r>
    </w:p>
    <w:p w14:paraId="62DD41F7">
      <w:pPr>
        <w:tabs>
          <w:tab w:val="left" w:pos="0"/>
          <w:tab w:val="left" w:pos="210"/>
        </w:tabs>
        <w:spacing w:line="360" w:lineRule="auto"/>
        <w:rPr>
          <w:rFonts w:hint="eastAsia" w:ascii="宋体" w:hAnsi="宋体"/>
          <w:bCs/>
          <w:sz w:val="28"/>
          <w:szCs w:val="28"/>
        </w:rPr>
      </w:pPr>
      <w:r>
        <w:rPr>
          <w:rFonts w:hint="eastAsia" w:ascii="宋体" w:hAnsi="宋体"/>
          <w:bCs/>
          <w:sz w:val="28"/>
          <w:szCs w:val="28"/>
        </w:rPr>
        <w:t xml:space="preserve"> （一）比选文件递交截止时间为2024年 </w:t>
      </w:r>
      <w:r>
        <w:rPr>
          <w:rFonts w:hint="eastAsia" w:ascii="宋体" w:hAnsi="宋体"/>
          <w:bCs/>
          <w:sz w:val="28"/>
          <w:szCs w:val="28"/>
          <w:lang w:val="en-US" w:eastAsia="zh-CN"/>
        </w:rPr>
        <w:t>10</w:t>
      </w:r>
      <w:r>
        <w:rPr>
          <w:rFonts w:hint="eastAsia" w:ascii="宋体" w:hAnsi="宋体"/>
          <w:bCs/>
          <w:sz w:val="28"/>
          <w:szCs w:val="28"/>
        </w:rPr>
        <w:t xml:space="preserve"> 月 </w:t>
      </w:r>
      <w:r>
        <w:rPr>
          <w:rFonts w:hint="eastAsia" w:ascii="宋体" w:hAnsi="宋体"/>
          <w:bCs/>
          <w:sz w:val="28"/>
          <w:szCs w:val="28"/>
          <w:lang w:val="en-US" w:eastAsia="zh-CN"/>
        </w:rPr>
        <w:t>11</w:t>
      </w:r>
      <w:r>
        <w:rPr>
          <w:rFonts w:hint="eastAsia" w:ascii="宋体" w:hAnsi="宋体"/>
          <w:bCs/>
          <w:sz w:val="28"/>
          <w:szCs w:val="28"/>
        </w:rPr>
        <w:t xml:space="preserve"> 日下午</w:t>
      </w:r>
      <w:r>
        <w:rPr>
          <w:rFonts w:ascii="宋体" w:hAnsi="宋体"/>
          <w:bCs/>
          <w:sz w:val="28"/>
          <w:szCs w:val="28"/>
        </w:rPr>
        <w:t>1</w:t>
      </w:r>
      <w:r>
        <w:rPr>
          <w:rFonts w:hint="eastAsia" w:ascii="宋体" w:hAnsi="宋体"/>
          <w:bCs/>
          <w:sz w:val="28"/>
          <w:szCs w:val="28"/>
        </w:rPr>
        <w:t>4</w:t>
      </w:r>
      <w:r>
        <w:rPr>
          <w:rFonts w:ascii="宋体" w:hAnsi="宋体"/>
          <w:bCs/>
          <w:sz w:val="28"/>
          <w:szCs w:val="28"/>
        </w:rPr>
        <w:t>:</w:t>
      </w:r>
      <w:r>
        <w:rPr>
          <w:rFonts w:hint="eastAsia" w:ascii="宋体" w:hAnsi="宋体"/>
          <w:bCs/>
          <w:sz w:val="28"/>
          <w:szCs w:val="28"/>
        </w:rPr>
        <w:t>0</w:t>
      </w:r>
      <w:r>
        <w:rPr>
          <w:rFonts w:ascii="宋体" w:hAnsi="宋体"/>
          <w:bCs/>
          <w:sz w:val="28"/>
          <w:szCs w:val="28"/>
        </w:rPr>
        <w:t>0</w:t>
      </w:r>
      <w:r>
        <w:rPr>
          <w:rFonts w:hint="eastAsia" w:ascii="宋体" w:hAnsi="宋体"/>
          <w:bCs/>
          <w:sz w:val="28"/>
          <w:szCs w:val="28"/>
        </w:rPr>
        <w:t>，地点为重庆渝开发股份有限公司市场营销部，地址：重庆市渝中区上清寺街道中山三路128号投资大厦2601室。</w:t>
      </w:r>
    </w:p>
    <w:p w14:paraId="16FEAFBC">
      <w:pPr>
        <w:spacing w:line="360" w:lineRule="auto"/>
        <w:rPr>
          <w:rFonts w:hint="eastAsia" w:ascii="宋体" w:hAnsi="宋体" w:cs="宋体"/>
          <w:bCs/>
          <w:sz w:val="28"/>
          <w:szCs w:val="28"/>
        </w:rPr>
      </w:pPr>
      <w:r>
        <w:rPr>
          <w:rFonts w:hint="eastAsia" w:ascii="宋体" w:hAnsi="宋体"/>
          <w:bCs/>
          <w:sz w:val="28"/>
          <w:szCs w:val="28"/>
        </w:rPr>
        <w:t xml:space="preserve"> </w:t>
      </w:r>
      <w:r>
        <w:rPr>
          <w:rFonts w:hint="eastAsia" w:ascii="宋体" w:hAnsi="宋体" w:cs="宋体"/>
          <w:bCs/>
          <w:sz w:val="28"/>
          <w:szCs w:val="28"/>
        </w:rPr>
        <w:t>（二）法定代表人递交参选文件时，同时另外提供一份法定代表人身份证明原件（格式详比选文件附件</w:t>
      </w:r>
      <w:r>
        <w:rPr>
          <w:rFonts w:hint="eastAsia" w:ascii="宋体" w:hAnsi="宋体" w:cs="宋体"/>
          <w:bCs/>
          <w:sz w:val="28"/>
          <w:szCs w:val="28"/>
          <w:lang w:val="en-US" w:eastAsia="zh-CN"/>
        </w:rPr>
        <w:t>3</w:t>
      </w:r>
      <w:r>
        <w:rPr>
          <w:rFonts w:hint="eastAsia" w:ascii="宋体" w:hAnsi="宋体" w:cs="宋体"/>
          <w:bCs/>
          <w:sz w:val="28"/>
          <w:szCs w:val="28"/>
        </w:rPr>
        <w:t>）并出示本人身份证原件。非法定代表人递交参选文件时，同时另外提供各一份法定代表人身份证明及授权委托书原件(格式详比选文件附件</w:t>
      </w:r>
      <w:r>
        <w:rPr>
          <w:rFonts w:hint="eastAsia" w:ascii="宋体" w:hAnsi="宋体" w:cs="宋体"/>
          <w:bCs/>
          <w:sz w:val="28"/>
          <w:szCs w:val="28"/>
          <w:lang w:val="en-US" w:eastAsia="zh-CN"/>
        </w:rPr>
        <w:t>3、4</w:t>
      </w:r>
      <w:r>
        <w:rPr>
          <w:rFonts w:hint="eastAsia" w:ascii="宋体" w:hAnsi="宋体" w:cs="宋体"/>
          <w:bCs/>
          <w:sz w:val="28"/>
          <w:szCs w:val="28"/>
        </w:rPr>
        <w:t>)并出示本人身份证原件。否则，比选人拒收参选文件。</w:t>
      </w:r>
    </w:p>
    <w:p w14:paraId="77D0E080">
      <w:pPr>
        <w:spacing w:line="360" w:lineRule="auto"/>
        <w:rPr>
          <w:rFonts w:hint="eastAsia" w:ascii="宋体" w:hAnsi="宋体"/>
          <w:bCs/>
          <w:sz w:val="28"/>
          <w:szCs w:val="28"/>
        </w:rPr>
      </w:pPr>
      <w:r>
        <w:rPr>
          <w:rFonts w:hint="eastAsia" w:ascii="宋体" w:hAnsi="宋体"/>
          <w:bCs/>
          <w:sz w:val="28"/>
          <w:szCs w:val="28"/>
        </w:rPr>
        <w:t xml:space="preserve"> （三）参选保证金须于2024年</w:t>
      </w:r>
      <w:r>
        <w:rPr>
          <w:rFonts w:hint="eastAsia" w:ascii="宋体" w:hAnsi="宋体"/>
          <w:bCs/>
          <w:sz w:val="28"/>
          <w:szCs w:val="28"/>
          <w:lang w:val="en-US" w:eastAsia="zh-CN"/>
        </w:rPr>
        <w:t>10</w:t>
      </w:r>
      <w:r>
        <w:rPr>
          <w:rFonts w:hint="eastAsia" w:ascii="宋体" w:hAnsi="宋体"/>
          <w:bCs/>
          <w:sz w:val="28"/>
          <w:szCs w:val="28"/>
        </w:rPr>
        <w:t xml:space="preserve"> 月</w:t>
      </w:r>
      <w:r>
        <w:rPr>
          <w:rFonts w:hint="eastAsia" w:ascii="宋体" w:hAnsi="宋体"/>
          <w:bCs/>
          <w:sz w:val="28"/>
          <w:szCs w:val="28"/>
          <w:lang w:val="en-US" w:eastAsia="zh-CN"/>
        </w:rPr>
        <w:t>11</w:t>
      </w:r>
      <w:r>
        <w:rPr>
          <w:rFonts w:hint="eastAsia" w:ascii="宋体" w:hAnsi="宋体"/>
          <w:bCs/>
          <w:sz w:val="28"/>
          <w:szCs w:val="28"/>
        </w:rPr>
        <w:t xml:space="preserve"> 日上午</w:t>
      </w:r>
      <w:r>
        <w:rPr>
          <w:rFonts w:ascii="宋体" w:hAnsi="宋体"/>
          <w:bCs/>
          <w:sz w:val="28"/>
          <w:szCs w:val="28"/>
        </w:rPr>
        <w:t>1</w:t>
      </w:r>
      <w:r>
        <w:rPr>
          <w:rFonts w:hint="eastAsia" w:ascii="宋体" w:hAnsi="宋体"/>
          <w:bCs/>
          <w:sz w:val="28"/>
          <w:szCs w:val="28"/>
        </w:rPr>
        <w:t>2</w:t>
      </w:r>
      <w:r>
        <w:rPr>
          <w:rFonts w:ascii="宋体" w:hAnsi="宋体"/>
          <w:bCs/>
          <w:sz w:val="28"/>
          <w:szCs w:val="28"/>
        </w:rPr>
        <w:t>:</w:t>
      </w:r>
      <w:r>
        <w:rPr>
          <w:rFonts w:hint="eastAsia" w:ascii="宋体" w:hAnsi="宋体"/>
          <w:bCs/>
          <w:sz w:val="28"/>
          <w:szCs w:val="28"/>
        </w:rPr>
        <w:t>0</w:t>
      </w:r>
      <w:r>
        <w:rPr>
          <w:rFonts w:ascii="宋体" w:hAnsi="宋体"/>
          <w:bCs/>
          <w:sz w:val="28"/>
          <w:szCs w:val="28"/>
        </w:rPr>
        <w:t>0</w:t>
      </w:r>
      <w:r>
        <w:rPr>
          <w:rFonts w:hint="eastAsia" w:ascii="宋体" w:hAnsi="宋体"/>
          <w:bCs/>
          <w:sz w:val="28"/>
          <w:szCs w:val="28"/>
        </w:rPr>
        <w:t>前汇入比选人指定账户，且参选人须提交“</w:t>
      </w:r>
      <w:r>
        <w:rPr>
          <w:rFonts w:hint="eastAsia" w:ascii="宋体" w:hAnsi="宋体" w:cs="宋体"/>
          <w:bCs/>
          <w:sz w:val="28"/>
          <w:szCs w:val="28"/>
        </w:rPr>
        <w:t>渝开发2024年年度市场监测咨询服务</w:t>
      </w:r>
      <w:r>
        <w:rPr>
          <w:rFonts w:hint="eastAsia" w:ascii="宋体" w:hAnsi="宋体" w:cs="宋体"/>
          <w:sz w:val="28"/>
          <w:szCs w:val="28"/>
        </w:rPr>
        <w:t>合作单位</w:t>
      </w:r>
      <w:r>
        <w:rPr>
          <w:rFonts w:hint="eastAsia" w:ascii="宋体" w:hAnsi="宋体"/>
          <w:bCs/>
          <w:sz w:val="28"/>
          <w:szCs w:val="28"/>
        </w:rPr>
        <w:t>参选保证金”付款凭据复印件，否则比选人不予受理。</w:t>
      </w:r>
    </w:p>
    <w:p w14:paraId="2D68EA3B">
      <w:pPr>
        <w:spacing w:line="360" w:lineRule="auto"/>
        <w:rPr>
          <w:rFonts w:hint="eastAsia" w:ascii="宋体" w:hAnsi="宋体"/>
          <w:bCs/>
          <w:sz w:val="28"/>
          <w:szCs w:val="28"/>
        </w:rPr>
      </w:pPr>
      <w:r>
        <w:rPr>
          <w:rFonts w:hint="eastAsia" w:ascii="宋体" w:hAnsi="宋体"/>
          <w:bCs/>
          <w:sz w:val="28"/>
          <w:szCs w:val="28"/>
        </w:rPr>
        <w:t xml:space="preserve"> （四）参选人递交比选文件份数与密封完整性若不满足比选文件要求，比选人不予受理。</w:t>
      </w:r>
    </w:p>
    <w:p w14:paraId="346225F8">
      <w:pPr>
        <w:tabs>
          <w:tab w:val="left" w:pos="210"/>
          <w:tab w:val="left" w:pos="420"/>
        </w:tabs>
        <w:spacing w:line="360" w:lineRule="auto"/>
        <w:rPr>
          <w:rFonts w:hint="eastAsia" w:ascii="宋体" w:hAnsi="宋体"/>
          <w:bCs/>
          <w:sz w:val="28"/>
          <w:szCs w:val="28"/>
        </w:rPr>
      </w:pPr>
      <w:r>
        <w:rPr>
          <w:rFonts w:hint="eastAsia" w:ascii="宋体" w:hAnsi="宋体"/>
          <w:bCs/>
          <w:sz w:val="28"/>
          <w:szCs w:val="28"/>
        </w:rPr>
        <w:t xml:space="preserve"> （五）逾期送达的、未送达指定地点或者其他不满足比选文件要求等情形，比选人不予受理。</w:t>
      </w:r>
    </w:p>
    <w:p w14:paraId="24B4EAF8">
      <w:pPr>
        <w:spacing w:line="360" w:lineRule="auto"/>
        <w:rPr>
          <w:rFonts w:hint="eastAsia" w:ascii="宋体" w:hAnsi="宋体" w:cs="宋体"/>
          <w:b/>
          <w:bCs/>
          <w:sz w:val="28"/>
          <w:szCs w:val="28"/>
        </w:rPr>
      </w:pPr>
      <w:r>
        <w:rPr>
          <w:rFonts w:hint="eastAsia" w:ascii="宋体" w:hAnsi="宋体" w:cs="宋体"/>
          <w:b/>
          <w:bCs/>
          <w:sz w:val="28"/>
          <w:szCs w:val="28"/>
        </w:rPr>
        <w:t>四、比选文件的评审</w:t>
      </w:r>
    </w:p>
    <w:p w14:paraId="296F6561">
      <w:pPr>
        <w:tabs>
          <w:tab w:val="left" w:pos="0"/>
          <w:tab w:val="left" w:pos="180"/>
          <w:tab w:val="left" w:pos="420"/>
        </w:tabs>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 xml:space="preserve">（一）时间与地点：2024年 </w:t>
      </w:r>
      <w:r>
        <w:rPr>
          <w:rFonts w:hint="eastAsia" w:ascii="宋体" w:hAnsi="宋体" w:cs="宋体"/>
          <w:bCs/>
          <w:sz w:val="28"/>
          <w:szCs w:val="28"/>
          <w:lang w:val="en-US" w:eastAsia="zh-CN"/>
        </w:rPr>
        <w:t>10</w:t>
      </w:r>
      <w:r>
        <w:rPr>
          <w:rFonts w:hint="eastAsia" w:ascii="宋体" w:hAnsi="宋体" w:cs="宋体"/>
          <w:bCs/>
          <w:sz w:val="28"/>
          <w:szCs w:val="28"/>
        </w:rPr>
        <w:t xml:space="preserve"> 月 </w:t>
      </w:r>
      <w:r>
        <w:rPr>
          <w:rFonts w:hint="eastAsia" w:ascii="宋体" w:hAnsi="宋体" w:cs="宋体"/>
          <w:bCs/>
          <w:sz w:val="28"/>
          <w:szCs w:val="28"/>
          <w:lang w:val="en-US" w:eastAsia="zh-CN"/>
        </w:rPr>
        <w:t>11</w:t>
      </w:r>
      <w:r>
        <w:rPr>
          <w:rFonts w:hint="eastAsia" w:ascii="宋体" w:hAnsi="宋体" w:cs="宋体"/>
          <w:bCs/>
          <w:sz w:val="28"/>
          <w:szCs w:val="28"/>
        </w:rPr>
        <w:t xml:space="preserve"> 日下午14：30时，地点为重庆渝开发股份有限公司，地址：重庆市渝中区上清寺街道中山三路128号投资大厦 。若有变动，具体以我司正式通知为准。</w:t>
      </w:r>
    </w:p>
    <w:p w14:paraId="5D89E295">
      <w:pPr>
        <w:tabs>
          <w:tab w:val="left" w:pos="0"/>
        </w:tabs>
        <w:adjustRightInd w:val="0"/>
        <w:snapToGrid w:val="0"/>
        <w:spacing w:line="360" w:lineRule="auto"/>
        <w:ind w:firstLine="560" w:firstLineChars="200"/>
        <w:rPr>
          <w:rFonts w:hint="eastAsia" w:ascii="宋体" w:hAnsi="宋体"/>
          <w:sz w:val="28"/>
          <w:szCs w:val="28"/>
        </w:rPr>
      </w:pPr>
      <w:r>
        <w:rPr>
          <w:rFonts w:hint="eastAsia" w:ascii="宋体" w:hAnsi="宋体" w:cs="宋体"/>
          <w:bCs/>
          <w:sz w:val="28"/>
          <w:szCs w:val="28"/>
        </w:rPr>
        <w:t>（二）</w:t>
      </w:r>
      <w:r>
        <w:rPr>
          <w:rFonts w:hint="eastAsia" w:ascii="宋体" w:hAnsi="宋体" w:cs="宋体"/>
          <w:sz w:val="28"/>
          <w:szCs w:val="28"/>
        </w:rPr>
        <w:t>由比选人组建评审小组，按照公开、公平、公正、诚实信用的原则对参选人递交的比选文件进行评审。</w:t>
      </w:r>
    </w:p>
    <w:p w14:paraId="71508FF2">
      <w:pPr>
        <w:adjustRightInd w:val="0"/>
        <w:snapToGrid w:val="0"/>
        <w:spacing w:line="360" w:lineRule="auto"/>
        <w:ind w:firstLine="548" w:firstLineChars="196"/>
        <w:rPr>
          <w:rFonts w:hint="eastAsia" w:ascii="宋体" w:hAnsi="宋体" w:cs="宋体"/>
          <w:bCs/>
          <w:sz w:val="28"/>
          <w:szCs w:val="28"/>
          <w:highlight w:val="none"/>
        </w:rPr>
      </w:pPr>
      <w:r>
        <w:rPr>
          <w:rFonts w:hint="eastAsia" w:ascii="宋体" w:hAnsi="宋体" w:cs="宋体"/>
          <w:bCs/>
          <w:sz w:val="28"/>
          <w:szCs w:val="28"/>
        </w:rPr>
        <w:t>资格审查不合格的参选人，现场取消其比选资格。比选人将在与中选人签订合同之日起十五个工作日内与其他未中选的参选人一并无息全额退还其缴</w:t>
      </w:r>
      <w:r>
        <w:rPr>
          <w:rFonts w:hint="eastAsia" w:ascii="宋体" w:hAnsi="宋体" w:cs="宋体"/>
          <w:bCs/>
          <w:sz w:val="28"/>
          <w:szCs w:val="28"/>
          <w:highlight w:val="none"/>
        </w:rPr>
        <w:t>纳的参选保证金。</w:t>
      </w:r>
    </w:p>
    <w:p w14:paraId="11461C85">
      <w:pPr>
        <w:adjustRightInd w:val="0"/>
        <w:snapToGrid w:val="0"/>
        <w:spacing w:line="360" w:lineRule="auto"/>
        <w:ind w:firstLine="560" w:firstLineChars="200"/>
        <w:rPr>
          <w:rFonts w:hint="eastAsia" w:ascii="宋体" w:hAnsi="宋体"/>
          <w:bCs/>
          <w:color w:val="0000FF"/>
          <w:sz w:val="28"/>
          <w:szCs w:val="28"/>
          <w:highlight w:val="none"/>
        </w:rPr>
      </w:pPr>
      <w:bookmarkStart w:id="30" w:name="_Hlk500247854"/>
      <w:r>
        <w:rPr>
          <w:rFonts w:hint="eastAsia" w:ascii="宋体" w:hAnsi="宋体" w:cs="宋体"/>
          <w:sz w:val="28"/>
          <w:szCs w:val="28"/>
          <w:highlight w:val="none"/>
        </w:rPr>
        <w:t>（三）本次评审</w:t>
      </w:r>
      <w:bookmarkEnd w:id="30"/>
      <w:r>
        <w:rPr>
          <w:rFonts w:hint="eastAsia" w:ascii="宋体" w:hAnsi="宋体" w:cs="宋体"/>
          <w:color w:val="000000"/>
          <w:sz w:val="28"/>
          <w:szCs w:val="28"/>
          <w:highlight w:val="none"/>
        </w:rPr>
        <w:t>采用最低报价法。评选小组按比选文件进行资格性审查，在资格性审查合格的参选人中按报价由低到高推荐中选候选人。若出现参选人的参选报价相同时</w:t>
      </w:r>
      <w:r>
        <w:rPr>
          <w:rFonts w:hint="eastAsia" w:ascii="宋体" w:hAnsi="宋体" w:cs="宋体"/>
          <w:bCs/>
          <w:sz w:val="28"/>
          <w:szCs w:val="28"/>
          <w:highlight w:val="none"/>
        </w:rPr>
        <w:t>，以参选人提供的</w:t>
      </w:r>
      <w:r>
        <w:rPr>
          <w:rFonts w:hint="eastAsia" w:ascii="宋体" w:hAnsi="宋体"/>
          <w:sz w:val="28"/>
          <w:szCs w:val="28"/>
          <w:highlight w:val="none"/>
        </w:rPr>
        <w:t>房地产行业数据咨询类服务合同且合同服务期限在一年或一年以上的合同数量最多者优先。若合同数量</w:t>
      </w:r>
      <w:r>
        <w:rPr>
          <w:rFonts w:hint="eastAsia" w:ascii="宋体" w:hAnsi="宋体"/>
          <w:sz w:val="28"/>
          <w:szCs w:val="28"/>
          <w:highlight w:val="none"/>
          <w:lang w:val="en-US" w:eastAsia="zh-CN"/>
        </w:rPr>
        <w:t>一致，则</w:t>
      </w:r>
      <w:r>
        <w:rPr>
          <w:rFonts w:hint="eastAsia" w:ascii="宋体" w:hAnsi="宋体" w:cs="宋体"/>
          <w:color w:val="000000"/>
          <w:sz w:val="28"/>
          <w:szCs w:val="28"/>
          <w:highlight w:val="none"/>
        </w:rPr>
        <w:t>以“营业执照成立年限最久的确定中选人”。</w:t>
      </w:r>
    </w:p>
    <w:p w14:paraId="6D6707A2"/>
    <w:p w14:paraId="10174E0B">
      <w:pPr>
        <w:spacing w:line="360" w:lineRule="auto"/>
        <w:rPr>
          <w:rFonts w:hint="eastAsia" w:ascii="宋体" w:hAnsi="宋体" w:cs="宋体"/>
          <w:bCs/>
          <w:sz w:val="28"/>
          <w:szCs w:val="28"/>
        </w:rPr>
      </w:pPr>
      <w:r>
        <w:rPr>
          <w:rFonts w:hint="eastAsia" w:ascii="宋体" w:hAnsi="宋体" w:cs="宋体"/>
          <w:b/>
          <w:sz w:val="28"/>
          <w:szCs w:val="28"/>
        </w:rPr>
        <w:t>第四条   比选文件的编制</w:t>
      </w:r>
    </w:p>
    <w:p w14:paraId="292BDA65">
      <w:pPr>
        <w:spacing w:line="360" w:lineRule="auto"/>
        <w:rPr>
          <w:rFonts w:hint="eastAsia" w:ascii="宋体" w:hAnsi="宋体" w:cs="宋体"/>
          <w:bCs/>
          <w:sz w:val="28"/>
          <w:szCs w:val="28"/>
        </w:rPr>
      </w:pPr>
      <w:r>
        <w:rPr>
          <w:rFonts w:hint="eastAsia" w:ascii="宋体" w:hAnsi="宋体" w:cs="宋体"/>
          <w:b/>
          <w:sz w:val="28"/>
          <w:szCs w:val="28"/>
        </w:rPr>
        <w:t>一、比选文件的组成</w:t>
      </w:r>
    </w:p>
    <w:p w14:paraId="25FCF838">
      <w:pPr>
        <w:spacing w:line="360" w:lineRule="auto"/>
        <w:rPr>
          <w:rFonts w:hint="eastAsia" w:ascii="宋体" w:hAnsi="宋体" w:cs="宋体"/>
          <w:sz w:val="28"/>
          <w:szCs w:val="28"/>
        </w:rPr>
      </w:pPr>
      <w:r>
        <w:rPr>
          <w:rFonts w:hint="eastAsia" w:ascii="宋体" w:hAnsi="宋体" w:cs="宋体"/>
          <w:sz w:val="28"/>
          <w:szCs w:val="28"/>
        </w:rPr>
        <w:t xml:space="preserve"> （一）参选人获取比选文件后，应仔细检查比选文件所有内容，如有残缺或疑问等，应及时</w:t>
      </w:r>
      <w:r>
        <w:fldChar w:fldCharType="begin"/>
      </w:r>
      <w:r>
        <w:instrText xml:space="preserve"> HYPERLINK "http://www.csjichu.com“请你留言”的留言薄上,应注明工程名称" </w:instrText>
      </w:r>
      <w:r>
        <w:fldChar w:fldCharType="separate"/>
      </w:r>
      <w:r>
        <w:rPr>
          <w:rFonts w:hint="eastAsia" w:ascii="宋体" w:hAnsi="宋体" w:cs="宋体"/>
          <w:sz w:val="28"/>
          <w:szCs w:val="28"/>
        </w:rPr>
        <w:t>向比选人提出，</w:t>
      </w:r>
      <w:r>
        <w:rPr>
          <w:rFonts w:hint="eastAsia" w:ascii="宋体" w:hAnsi="宋体" w:cs="宋体"/>
          <w:sz w:val="28"/>
          <w:szCs w:val="28"/>
        </w:rPr>
        <w:fldChar w:fldCharType="end"/>
      </w:r>
      <w:r>
        <w:rPr>
          <w:rFonts w:hint="eastAsia" w:ascii="宋体" w:hAnsi="宋体" w:cs="宋体"/>
          <w:sz w:val="28"/>
          <w:szCs w:val="28"/>
        </w:rPr>
        <w:t>否则，由此引起的损失由参选人自己承担。</w:t>
      </w:r>
    </w:p>
    <w:p w14:paraId="0F467341">
      <w:pPr>
        <w:spacing w:line="360" w:lineRule="auto"/>
        <w:rPr>
          <w:rFonts w:hint="eastAsia" w:ascii="宋体" w:hAnsi="宋体" w:cs="宋体"/>
          <w:sz w:val="28"/>
          <w:szCs w:val="28"/>
          <w:shd w:val="clear" w:color="FFFFFF" w:fill="D9D9D9"/>
        </w:rPr>
      </w:pPr>
      <w:r>
        <w:rPr>
          <w:rFonts w:hint="eastAsia" w:ascii="宋体" w:hAnsi="宋体" w:cs="宋体"/>
          <w:sz w:val="28"/>
          <w:szCs w:val="28"/>
        </w:rPr>
        <w:t xml:space="preserve"> （二）比选文件包括资格性审查文件、经济文件。</w:t>
      </w:r>
    </w:p>
    <w:p w14:paraId="2D2AC77D">
      <w:pPr>
        <w:spacing w:line="360" w:lineRule="auto"/>
        <w:rPr>
          <w:rFonts w:hint="eastAsia" w:ascii="宋体" w:hAnsi="宋体" w:cs="宋体"/>
          <w:b/>
          <w:sz w:val="28"/>
          <w:szCs w:val="28"/>
        </w:rPr>
      </w:pPr>
      <w:r>
        <w:rPr>
          <w:rFonts w:hint="eastAsia" w:ascii="宋体" w:hAnsi="宋体" w:cs="宋体"/>
          <w:b/>
          <w:sz w:val="28"/>
          <w:szCs w:val="28"/>
        </w:rPr>
        <w:t>二、资格性审查文件</w:t>
      </w:r>
    </w:p>
    <w:p w14:paraId="1B9B3D04">
      <w:pPr>
        <w:pStyle w:val="10"/>
        <w:widowControl/>
        <w:tabs>
          <w:tab w:val="left" w:pos="0"/>
        </w:tabs>
        <w:adjustRightInd w:val="0"/>
        <w:snapToGrid w:val="0"/>
        <w:spacing w:line="360" w:lineRule="auto"/>
        <w:ind w:firstLine="560" w:firstLineChars="200"/>
        <w:jc w:val="left"/>
        <w:rPr>
          <w:rFonts w:hint="eastAsia" w:ascii="宋体" w:hAnsi="宋体" w:cs="宋体"/>
          <w:kern w:val="0"/>
          <w:sz w:val="28"/>
          <w:szCs w:val="28"/>
          <w:lang w:bidi="ar"/>
        </w:rPr>
      </w:pPr>
      <w:r>
        <w:rPr>
          <w:rFonts w:hint="eastAsia" w:ascii="宋体" w:hAnsi="宋体"/>
          <w:sz w:val="28"/>
          <w:szCs w:val="28"/>
        </w:rPr>
        <w:t>（一）经营资格：须具备独立法人资格；</w:t>
      </w:r>
      <w:r>
        <w:rPr>
          <w:rFonts w:hint="eastAsia" w:ascii="宋体" w:hAnsi="宋体"/>
          <w:color w:val="000000"/>
          <w:sz w:val="28"/>
          <w:szCs w:val="28"/>
        </w:rPr>
        <w:t>注册地址为重庆市范围内,</w:t>
      </w:r>
      <w:r>
        <w:rPr>
          <w:rFonts w:hint="eastAsia" w:ascii="宋体" w:hAnsi="宋体"/>
          <w:sz w:val="28"/>
          <w:szCs w:val="28"/>
        </w:rPr>
        <w:t>成立时间不少于三年；</w:t>
      </w:r>
      <w:r>
        <w:rPr>
          <w:rFonts w:hint="eastAsia" w:ascii="宋体" w:hAnsi="宋体" w:cs="宋体"/>
          <w:kern w:val="0"/>
          <w:sz w:val="28"/>
          <w:szCs w:val="28"/>
          <w:lang w:bidi="ar"/>
        </w:rPr>
        <w:t>且《营业执照》经营范围须具备如“大数据处理分析、服务”、“互联网数据服务”、“市场调研”、“房地产营销策划”、“房地产咨询”、“企业管理咨询”、“商务信息咨询”、“计算机信息技术的技术开发、技术转让、技术服务”等相关条件之一的经营许可。参选人须提供有效营业执照复印件并加盖鲜章。</w:t>
      </w:r>
    </w:p>
    <w:p w14:paraId="484A2F9E">
      <w:pPr>
        <w:pStyle w:val="10"/>
        <w:widowControl/>
        <w:adjustRightInd w:val="0"/>
        <w:snapToGrid w:val="0"/>
        <w:spacing w:line="360" w:lineRule="auto"/>
        <w:jc w:val="left"/>
      </w:pPr>
      <w:r>
        <w:rPr>
          <w:rFonts w:hint="eastAsia" w:ascii="宋体" w:hAnsi="宋体"/>
          <w:sz w:val="28"/>
          <w:szCs w:val="28"/>
        </w:rPr>
        <w:t xml:space="preserve"> </w:t>
      </w:r>
      <w:r>
        <w:rPr>
          <w:rFonts w:hint="eastAsia" w:ascii="宋体" w:hAnsi="宋体" w:cs="宋体"/>
          <w:sz w:val="28"/>
          <w:szCs w:val="28"/>
          <w:lang w:bidi="ar"/>
        </w:rPr>
        <w:t xml:space="preserve">  （二）</w:t>
      </w:r>
      <w:r>
        <w:rPr>
          <w:rFonts w:hint="eastAsia" w:ascii="宋体" w:hAnsi="宋体"/>
          <w:sz w:val="28"/>
          <w:szCs w:val="28"/>
        </w:rPr>
        <w:t>参选人须提交在重庆主城区（江北区、渝北区、两江新区、北碚区、渝中区、九龙坡区、沙坪坝区、大渡口区、南岸区、巴南区）</w:t>
      </w:r>
      <w:r>
        <w:rPr>
          <w:rFonts w:hint="eastAsia" w:ascii="宋体" w:hAnsi="宋体"/>
          <w:bCs/>
          <w:sz w:val="28"/>
          <w:szCs w:val="28"/>
        </w:rPr>
        <w:t>2021年至今已完成或正在履行</w:t>
      </w:r>
      <w:r>
        <w:rPr>
          <w:rFonts w:hint="eastAsia" w:ascii="宋体" w:hAnsi="宋体"/>
          <w:sz w:val="28"/>
          <w:szCs w:val="28"/>
        </w:rPr>
        <w:t>不少于3个（包含3个）的房地产行业数据</w:t>
      </w:r>
      <w:r>
        <w:rPr>
          <w:rFonts w:hint="eastAsia" w:ascii="宋体" w:hAnsi="宋体"/>
          <w:bCs/>
          <w:sz w:val="28"/>
          <w:szCs w:val="28"/>
        </w:rPr>
        <w:t>咨询类服务合同且合同服务期限在一年或一年以上</w:t>
      </w:r>
      <w:r>
        <w:rPr>
          <w:rFonts w:hint="eastAsia" w:ascii="宋体" w:hAnsi="宋体"/>
          <w:sz w:val="28"/>
          <w:szCs w:val="28"/>
        </w:rPr>
        <w:t>，</w:t>
      </w:r>
      <w:r>
        <w:rPr>
          <w:rFonts w:hint="eastAsia" w:ascii="宋体" w:hAnsi="宋体"/>
          <w:bCs/>
          <w:sz w:val="28"/>
          <w:szCs w:val="28"/>
        </w:rPr>
        <w:t>合同须包含</w:t>
      </w:r>
      <w:r>
        <w:rPr>
          <w:rFonts w:hint="eastAsia" w:ascii="宋体" w:hAnsi="宋体" w:cs="宋体"/>
          <w:kern w:val="0"/>
          <w:sz w:val="28"/>
          <w:szCs w:val="28"/>
          <w:lang w:bidi="ar"/>
        </w:rPr>
        <w:t>“大数据服务、市场调研、企业管理咨询”等相关条件之一的服务内容</w:t>
      </w:r>
      <w:r>
        <w:rPr>
          <w:rFonts w:hint="eastAsia" w:ascii="宋体" w:hAnsi="宋体"/>
          <w:sz w:val="28"/>
          <w:szCs w:val="28"/>
        </w:rPr>
        <w:t>（需提供合同复印件，并加盖鲜章，合同原件及对应合同发票、银行对帐单一并在评审过程中查验，查验完成后退还给参选人）。</w:t>
      </w:r>
    </w:p>
    <w:p w14:paraId="7A6E1966">
      <w:pPr>
        <w:widowControl/>
        <w:tabs>
          <w:tab w:val="left" w:pos="180"/>
          <w:tab w:val="left" w:pos="540"/>
        </w:tabs>
        <w:spacing w:line="360" w:lineRule="auto"/>
        <w:jc w:val="left"/>
        <w:rPr>
          <w:rFonts w:hint="eastAsia" w:ascii="宋体" w:hAnsi="宋体"/>
          <w:sz w:val="28"/>
          <w:szCs w:val="28"/>
        </w:rPr>
      </w:pPr>
      <w:r>
        <w:rPr>
          <w:rFonts w:hint="eastAsia" w:ascii="宋体" w:hAnsi="宋体"/>
          <w:sz w:val="28"/>
          <w:szCs w:val="28"/>
        </w:rPr>
        <w:t xml:space="preserve">  （三）签章确认的《授权委托书》、《法定代表人身份证明书》与《承诺书》。（附件</w:t>
      </w:r>
      <w:r>
        <w:rPr>
          <w:rFonts w:hint="eastAsia" w:ascii="宋体" w:hAnsi="宋体"/>
          <w:sz w:val="28"/>
          <w:szCs w:val="28"/>
          <w:lang w:val="en-US" w:eastAsia="zh-CN"/>
        </w:rPr>
        <w:t>3</w:t>
      </w:r>
      <w:r>
        <w:rPr>
          <w:rFonts w:hint="eastAsia" w:ascii="宋体" w:hAnsi="宋体"/>
          <w:sz w:val="28"/>
          <w:szCs w:val="28"/>
        </w:rPr>
        <w:t>）（附件</w:t>
      </w:r>
      <w:r>
        <w:rPr>
          <w:rFonts w:hint="eastAsia" w:ascii="宋体" w:hAnsi="宋体"/>
          <w:sz w:val="28"/>
          <w:szCs w:val="28"/>
          <w:lang w:val="en-US" w:eastAsia="zh-CN"/>
        </w:rPr>
        <w:t>4</w:t>
      </w:r>
      <w:r>
        <w:rPr>
          <w:rFonts w:hint="eastAsia" w:ascii="宋体" w:hAnsi="宋体"/>
          <w:sz w:val="28"/>
          <w:szCs w:val="28"/>
        </w:rPr>
        <w:t>）（附件</w:t>
      </w:r>
      <w:r>
        <w:rPr>
          <w:rFonts w:hint="eastAsia" w:ascii="宋体" w:hAnsi="宋体"/>
          <w:sz w:val="28"/>
          <w:szCs w:val="28"/>
          <w:lang w:val="en-US" w:eastAsia="zh-CN"/>
        </w:rPr>
        <w:t>5</w:t>
      </w:r>
      <w:r>
        <w:rPr>
          <w:rFonts w:hint="eastAsia" w:ascii="宋体" w:hAnsi="宋体"/>
          <w:sz w:val="28"/>
          <w:szCs w:val="28"/>
        </w:rPr>
        <w:t>）</w:t>
      </w:r>
    </w:p>
    <w:p w14:paraId="369D347F">
      <w:pPr>
        <w:tabs>
          <w:tab w:val="left" w:pos="3000"/>
        </w:tabs>
        <w:spacing w:line="360" w:lineRule="auto"/>
        <w:rPr>
          <w:rFonts w:hint="eastAsia" w:ascii="宋体" w:hAnsi="宋体"/>
          <w:sz w:val="28"/>
          <w:szCs w:val="28"/>
        </w:rPr>
      </w:pPr>
      <w:r>
        <w:rPr>
          <w:rFonts w:hint="eastAsia" w:ascii="宋体" w:hAnsi="宋体" w:cs="宋体"/>
          <w:bCs/>
          <w:sz w:val="28"/>
          <w:szCs w:val="28"/>
        </w:rPr>
        <w:t xml:space="preserve">  （四）</w:t>
      </w:r>
      <w:r>
        <w:rPr>
          <w:rFonts w:hint="eastAsia" w:ascii="宋体" w:hAnsi="宋体" w:cs="宋体"/>
          <w:bCs/>
          <w:sz w:val="28"/>
          <w:szCs w:val="28"/>
          <w:lang w:val="zh-TW"/>
        </w:rPr>
        <w:t>参选人须提交“</w:t>
      </w:r>
      <w:r>
        <w:rPr>
          <w:rFonts w:hint="eastAsia" w:ascii="宋体" w:hAnsi="宋体" w:cs="宋体"/>
          <w:bCs/>
          <w:sz w:val="28"/>
          <w:szCs w:val="28"/>
        </w:rPr>
        <w:t>渝开发2024年年度市场监测咨询服务</w:t>
      </w:r>
      <w:r>
        <w:rPr>
          <w:rFonts w:hint="eastAsia" w:ascii="宋体" w:hAnsi="宋体" w:cs="宋体"/>
          <w:sz w:val="28"/>
          <w:szCs w:val="28"/>
        </w:rPr>
        <w:t>合作单位</w:t>
      </w:r>
      <w:r>
        <w:rPr>
          <w:rFonts w:hint="eastAsia" w:ascii="宋体" w:hAnsi="宋体"/>
          <w:bCs/>
          <w:sz w:val="28"/>
          <w:szCs w:val="28"/>
        </w:rPr>
        <w:t>参选保证金</w:t>
      </w:r>
      <w:r>
        <w:rPr>
          <w:rFonts w:hint="eastAsia" w:ascii="宋体" w:hAnsi="宋体" w:cs="宋体"/>
          <w:bCs/>
          <w:sz w:val="28"/>
          <w:szCs w:val="28"/>
          <w:lang w:val="zh-TW"/>
        </w:rPr>
        <w:t>”付款凭据复印件凭证。</w:t>
      </w:r>
    </w:p>
    <w:p w14:paraId="65F35540">
      <w:pPr>
        <w:spacing w:line="360" w:lineRule="auto"/>
        <w:rPr>
          <w:rFonts w:hint="eastAsia" w:ascii="宋体" w:hAnsi="宋体" w:cs="宋体"/>
          <w:b/>
          <w:sz w:val="28"/>
          <w:szCs w:val="28"/>
        </w:rPr>
      </w:pPr>
      <w:r>
        <w:rPr>
          <w:rFonts w:hint="eastAsia" w:ascii="宋体" w:hAnsi="宋体" w:cs="宋体"/>
          <w:b/>
          <w:sz w:val="28"/>
          <w:szCs w:val="28"/>
          <w:lang w:val="en-US" w:eastAsia="zh-CN"/>
        </w:rPr>
        <w:t>三</w:t>
      </w:r>
      <w:r>
        <w:rPr>
          <w:rFonts w:hint="eastAsia" w:ascii="宋体" w:hAnsi="宋体" w:cs="宋体"/>
          <w:b/>
          <w:sz w:val="28"/>
          <w:szCs w:val="28"/>
        </w:rPr>
        <w:t>、经济文件</w:t>
      </w:r>
    </w:p>
    <w:p w14:paraId="79C27FEC">
      <w:pPr>
        <w:spacing w:line="360" w:lineRule="auto"/>
        <w:ind w:firstLine="560" w:firstLineChars="200"/>
        <w:jc w:val="left"/>
        <w:rPr>
          <w:rFonts w:hint="eastAsia" w:ascii="宋体" w:hAnsi="宋体"/>
          <w:bCs/>
          <w:sz w:val="28"/>
          <w:szCs w:val="28"/>
        </w:rPr>
      </w:pPr>
      <w:r>
        <w:rPr>
          <w:rFonts w:hint="eastAsia" w:ascii="宋体" w:hAnsi="宋体"/>
          <w:bCs/>
          <w:sz w:val="28"/>
          <w:szCs w:val="28"/>
        </w:rPr>
        <w:t>经济文件为比选书中“附件</w:t>
      </w:r>
      <w:r>
        <w:rPr>
          <w:rFonts w:hint="eastAsia" w:ascii="宋体" w:hAnsi="宋体"/>
          <w:bCs/>
          <w:sz w:val="28"/>
          <w:szCs w:val="28"/>
          <w:lang w:val="en-US" w:eastAsia="zh-CN"/>
        </w:rPr>
        <w:t>1</w:t>
      </w:r>
      <w:r>
        <w:rPr>
          <w:rFonts w:hint="eastAsia" w:ascii="宋体" w:hAnsi="宋体"/>
          <w:bCs/>
          <w:sz w:val="28"/>
          <w:szCs w:val="28"/>
        </w:rPr>
        <w:t>《报价书》”与“附件</w:t>
      </w:r>
      <w:r>
        <w:rPr>
          <w:rFonts w:hint="eastAsia" w:ascii="宋体" w:hAnsi="宋体"/>
          <w:bCs/>
          <w:sz w:val="28"/>
          <w:szCs w:val="28"/>
          <w:lang w:val="en-US" w:eastAsia="zh-CN"/>
        </w:rPr>
        <w:t>2</w:t>
      </w:r>
      <w:r>
        <w:rPr>
          <w:rFonts w:hint="eastAsia" w:ascii="宋体" w:hAnsi="宋体"/>
          <w:bCs/>
          <w:sz w:val="28"/>
          <w:szCs w:val="28"/>
        </w:rPr>
        <w:t>《</w:t>
      </w:r>
      <w:r>
        <w:rPr>
          <w:rFonts w:hint="eastAsia" w:ascii="宋体" w:hAnsi="宋体" w:cs="宋体"/>
          <w:bCs/>
          <w:sz w:val="28"/>
          <w:szCs w:val="28"/>
        </w:rPr>
        <w:t>渝开发</w:t>
      </w:r>
      <w:r>
        <w:rPr>
          <w:rFonts w:hint="eastAsia" w:ascii="宋体" w:hAnsi="宋体" w:cs="宋体"/>
          <w:sz w:val="28"/>
          <w:szCs w:val="28"/>
        </w:rPr>
        <w:t>2024年年度市场监测咨询服务工作内容</w:t>
      </w:r>
      <w:r>
        <w:rPr>
          <w:rFonts w:hint="eastAsia" w:ascii="宋体" w:hAnsi="宋体"/>
          <w:bCs/>
          <w:sz w:val="28"/>
          <w:szCs w:val="28"/>
        </w:rPr>
        <w:t>》”。报价人应依据本次比选文件要求认真填写附件</w:t>
      </w:r>
      <w:r>
        <w:rPr>
          <w:rFonts w:hint="eastAsia" w:ascii="宋体" w:hAnsi="宋体"/>
          <w:bCs/>
          <w:sz w:val="28"/>
          <w:szCs w:val="28"/>
          <w:lang w:val="en-US" w:eastAsia="zh-CN"/>
        </w:rPr>
        <w:t>1</w:t>
      </w:r>
      <w:r>
        <w:rPr>
          <w:rFonts w:hint="eastAsia" w:ascii="宋体" w:hAnsi="宋体"/>
          <w:bCs/>
          <w:sz w:val="28"/>
          <w:szCs w:val="28"/>
        </w:rPr>
        <w:t>《报价书》以及附件</w:t>
      </w:r>
      <w:r>
        <w:rPr>
          <w:rFonts w:hint="eastAsia" w:ascii="宋体" w:hAnsi="宋体"/>
          <w:bCs/>
          <w:sz w:val="28"/>
          <w:szCs w:val="28"/>
          <w:lang w:val="en-US" w:eastAsia="zh-CN"/>
        </w:rPr>
        <w:t>2</w:t>
      </w:r>
      <w:r>
        <w:rPr>
          <w:rFonts w:hint="eastAsia" w:ascii="宋体" w:hAnsi="宋体"/>
          <w:bCs/>
          <w:sz w:val="28"/>
          <w:szCs w:val="28"/>
        </w:rPr>
        <w:t>《</w:t>
      </w:r>
      <w:r>
        <w:rPr>
          <w:rFonts w:hint="eastAsia" w:ascii="宋体" w:hAnsi="宋体" w:cs="宋体"/>
          <w:bCs/>
          <w:sz w:val="28"/>
          <w:szCs w:val="28"/>
        </w:rPr>
        <w:t>渝开发</w:t>
      </w:r>
      <w:r>
        <w:rPr>
          <w:rFonts w:hint="eastAsia" w:ascii="宋体" w:hAnsi="宋体" w:cs="宋体"/>
          <w:sz w:val="28"/>
          <w:szCs w:val="28"/>
        </w:rPr>
        <w:t>2024年年度市场监测咨询服务工作内容</w:t>
      </w:r>
      <w:r>
        <w:rPr>
          <w:rFonts w:hint="eastAsia" w:ascii="宋体" w:hAnsi="宋体"/>
          <w:bCs/>
          <w:sz w:val="28"/>
          <w:szCs w:val="28"/>
        </w:rPr>
        <w:t>》。报价人报价不得高于比选总价限价，超过比选总价限价的一律视为作废处理。</w:t>
      </w:r>
    </w:p>
    <w:p w14:paraId="4EF2A247">
      <w:pPr>
        <w:spacing w:line="360" w:lineRule="auto"/>
        <w:rPr>
          <w:rFonts w:hint="eastAsia" w:ascii="宋体" w:hAnsi="宋体" w:cs="宋体"/>
          <w:b/>
          <w:sz w:val="28"/>
          <w:szCs w:val="28"/>
        </w:rPr>
      </w:pPr>
      <w:r>
        <w:rPr>
          <w:rFonts w:hint="eastAsia" w:ascii="宋体" w:hAnsi="宋体" w:cs="宋体"/>
          <w:b/>
          <w:sz w:val="28"/>
          <w:szCs w:val="28"/>
          <w:lang w:val="en-US" w:eastAsia="zh-CN"/>
        </w:rPr>
        <w:t>四</w:t>
      </w:r>
      <w:r>
        <w:rPr>
          <w:rFonts w:hint="eastAsia" w:ascii="宋体" w:hAnsi="宋体" w:cs="宋体"/>
          <w:b/>
          <w:sz w:val="28"/>
          <w:szCs w:val="28"/>
        </w:rPr>
        <w:t>、比选文件份数及密封</w:t>
      </w:r>
    </w:p>
    <w:p w14:paraId="240A9647">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1、装订与密封：参选人应严格按照比选文件要求，分别将《资格性审查文件》、《经济文件》装订成册，分别装入纸袋并密封。资格审查文件独立装袋密封并在密封处加盖公章，在封袋上注明</w:t>
      </w:r>
      <w:r>
        <w:rPr>
          <w:rFonts w:hint="eastAsia" w:ascii="宋体" w:hAnsi="宋体" w:cs="宋体"/>
          <w:sz w:val="28"/>
          <w:szCs w:val="28"/>
          <w:u w:val="single"/>
        </w:rPr>
        <w:t>：</w:t>
      </w:r>
      <w:r>
        <w:rPr>
          <w:rFonts w:hint="eastAsia" w:ascii="宋体" w:hAnsi="宋体" w:cs="宋体"/>
          <w:bCs/>
          <w:sz w:val="28"/>
          <w:szCs w:val="28"/>
          <w:u w:val="single"/>
        </w:rPr>
        <w:t>渝开发2024年年度市场监测咨询服务</w:t>
      </w:r>
      <w:r>
        <w:rPr>
          <w:rFonts w:hint="eastAsia" w:ascii="宋体" w:hAnsi="宋体" w:cs="宋体"/>
          <w:sz w:val="28"/>
          <w:szCs w:val="28"/>
          <w:u w:val="single"/>
        </w:rPr>
        <w:t>合作单位比选文件资格审查文件</w:t>
      </w:r>
      <w:r>
        <w:rPr>
          <w:rFonts w:hint="eastAsia" w:ascii="宋体" w:hAnsi="宋体" w:cs="宋体"/>
          <w:sz w:val="28"/>
          <w:szCs w:val="28"/>
        </w:rPr>
        <w:t>；经济文件独立装袋密封并在密封处加盖公章，在封袋上注明</w:t>
      </w:r>
      <w:r>
        <w:rPr>
          <w:rFonts w:hint="eastAsia" w:ascii="宋体" w:hAnsi="宋体" w:cs="宋体"/>
          <w:sz w:val="28"/>
          <w:szCs w:val="28"/>
          <w:u w:val="single"/>
        </w:rPr>
        <w:t>：</w:t>
      </w:r>
      <w:r>
        <w:rPr>
          <w:rFonts w:hint="eastAsia" w:ascii="宋体" w:hAnsi="宋体" w:cs="宋体"/>
          <w:bCs/>
          <w:sz w:val="28"/>
          <w:szCs w:val="28"/>
          <w:u w:val="single"/>
        </w:rPr>
        <w:t>渝开发2024年年度市场监测咨询服务</w:t>
      </w:r>
      <w:r>
        <w:rPr>
          <w:rFonts w:hint="eastAsia" w:ascii="宋体" w:hAnsi="宋体" w:cs="宋体"/>
          <w:sz w:val="28"/>
          <w:szCs w:val="28"/>
          <w:u w:val="single"/>
        </w:rPr>
        <w:t>合作单位比选文件经济文件。</w:t>
      </w:r>
      <w:r>
        <w:rPr>
          <w:rFonts w:hint="eastAsia" w:ascii="宋体" w:hAnsi="宋体" w:cs="宋体"/>
          <w:sz w:val="28"/>
          <w:szCs w:val="28"/>
        </w:rPr>
        <w:t>比选人不接受未作密封或密封不严的比选文件。</w:t>
      </w:r>
    </w:p>
    <w:p w14:paraId="66CE20A6">
      <w:pPr>
        <w:spacing w:line="360" w:lineRule="auto"/>
        <w:ind w:firstLine="560" w:firstLineChars="200"/>
        <w:rPr>
          <w:rFonts w:hint="eastAsia" w:ascii="宋体" w:hAnsi="宋体" w:cs="宋体"/>
          <w:sz w:val="28"/>
          <w:szCs w:val="28"/>
        </w:rPr>
      </w:pPr>
      <w:r>
        <w:rPr>
          <w:rFonts w:hint="eastAsia" w:ascii="宋体" w:hAnsi="宋体" w:cs="宋体"/>
          <w:sz w:val="28"/>
          <w:szCs w:val="28"/>
        </w:rPr>
        <w:t>2、份数：《资格性审查文件》、《经济文件》各1份。</w:t>
      </w:r>
    </w:p>
    <w:p w14:paraId="5F962D41">
      <w:pPr>
        <w:spacing w:line="360" w:lineRule="auto"/>
        <w:rPr>
          <w:rFonts w:hint="eastAsia" w:ascii="宋体" w:hAnsi="宋体" w:cs="宋体"/>
          <w:b/>
          <w:sz w:val="28"/>
          <w:szCs w:val="28"/>
        </w:rPr>
      </w:pPr>
      <w:r>
        <w:rPr>
          <w:rFonts w:hint="eastAsia" w:ascii="宋体" w:hAnsi="宋体" w:cs="宋体"/>
          <w:b/>
          <w:sz w:val="28"/>
          <w:szCs w:val="28"/>
        </w:rPr>
        <w:t>第五条   特别提醒</w:t>
      </w:r>
    </w:p>
    <w:p w14:paraId="5B78891E">
      <w:pPr>
        <w:spacing w:line="360" w:lineRule="auto"/>
        <w:ind w:firstLine="560" w:firstLineChars="200"/>
        <w:rPr>
          <w:rFonts w:hint="eastAsia" w:ascii="宋体" w:hAnsi="宋体"/>
          <w:sz w:val="28"/>
          <w:szCs w:val="28"/>
        </w:rPr>
      </w:pPr>
      <w:r>
        <w:rPr>
          <w:rFonts w:hint="eastAsia" w:ascii="宋体" w:hAnsi="宋体"/>
          <w:sz w:val="28"/>
          <w:szCs w:val="28"/>
        </w:rPr>
        <w:t>一、比选人将进一步核查参选人在比选文件中提供的资料，若比选期间有参选人投诉并经查实或比选小组发现参选人提供了虚假资料，参选人的比选文件作废，并将该参选人列入合作单位黑名单；</w:t>
      </w:r>
    </w:p>
    <w:p w14:paraId="07C11451">
      <w:pPr>
        <w:spacing w:line="360" w:lineRule="auto"/>
        <w:ind w:firstLine="560" w:firstLineChars="200"/>
        <w:rPr>
          <w:rFonts w:hint="eastAsia" w:ascii="宋体" w:hAnsi="宋体"/>
          <w:sz w:val="28"/>
          <w:szCs w:val="28"/>
        </w:rPr>
      </w:pPr>
      <w:r>
        <w:rPr>
          <w:rFonts w:hint="eastAsia" w:ascii="宋体" w:hAnsi="宋体"/>
          <w:sz w:val="28"/>
          <w:szCs w:val="28"/>
        </w:rPr>
        <w:t>二、若在比选结果公示期间或合同谈判过程中有参选人投诉或经比选人核查并经查实发现作为中选候选人的参选人提供了虚假资料，比选人将取消其中选资格，并罚没参选人缴纳的0.5万元参选保证金，并将该参选人列入合作单位黑名单；</w:t>
      </w:r>
    </w:p>
    <w:p w14:paraId="519E265C">
      <w:pPr>
        <w:spacing w:line="360" w:lineRule="auto"/>
        <w:ind w:firstLine="560" w:firstLineChars="200"/>
        <w:rPr>
          <w:rFonts w:hint="eastAsia" w:ascii="宋体" w:hAnsi="宋体" w:cs="宋体"/>
          <w:sz w:val="28"/>
          <w:szCs w:val="28"/>
        </w:rPr>
      </w:pPr>
      <w:r>
        <w:rPr>
          <w:rFonts w:hint="eastAsia" w:ascii="宋体" w:hAnsi="宋体"/>
          <w:sz w:val="28"/>
          <w:szCs w:val="28"/>
        </w:rPr>
        <w:t>三、若在合同执行期间发现参选人提供了虚假资料，比选人将有权单方面解除合同，并罚没中选人全部履约保证金，并将该中选人列入合作单位黑名单。</w:t>
      </w:r>
    </w:p>
    <w:p w14:paraId="31AFAA01">
      <w:pPr>
        <w:adjustRightInd w:val="0"/>
        <w:snapToGrid w:val="0"/>
        <w:spacing w:line="360" w:lineRule="auto"/>
        <w:rPr>
          <w:rFonts w:hint="eastAsia" w:ascii="宋体" w:hAnsi="宋体"/>
          <w:sz w:val="28"/>
          <w:szCs w:val="28"/>
        </w:rPr>
      </w:pPr>
      <w:r>
        <w:rPr>
          <w:rFonts w:hint="eastAsia" w:ascii="宋体" w:hAnsi="宋体" w:cs="宋体"/>
          <w:b/>
          <w:sz w:val="28"/>
          <w:szCs w:val="28"/>
        </w:rPr>
        <w:t>第六条   附件</w:t>
      </w:r>
    </w:p>
    <w:p w14:paraId="730C3C13">
      <w:pPr>
        <w:spacing w:line="360" w:lineRule="auto"/>
        <w:rPr>
          <w:rFonts w:hint="eastAsia" w:ascii="宋体" w:hAnsi="宋体" w:cs="宋体"/>
          <w:sz w:val="28"/>
          <w:szCs w:val="28"/>
        </w:rPr>
      </w:pPr>
      <w:r>
        <w:rPr>
          <w:rFonts w:hint="eastAsia" w:ascii="宋体" w:hAnsi="宋体"/>
          <w:sz w:val="28"/>
          <w:szCs w:val="28"/>
        </w:rPr>
        <w:t>附</w:t>
      </w:r>
      <w:r>
        <w:rPr>
          <w:rFonts w:hint="eastAsia" w:ascii="宋体" w:hAnsi="宋体" w:cs="宋体"/>
          <w:sz w:val="28"/>
          <w:szCs w:val="28"/>
        </w:rPr>
        <w:t>件</w:t>
      </w:r>
      <w:r>
        <w:rPr>
          <w:rFonts w:hint="eastAsia" w:ascii="宋体" w:hAnsi="宋体" w:cs="宋体"/>
          <w:sz w:val="28"/>
          <w:szCs w:val="28"/>
          <w:lang w:val="en-US" w:eastAsia="zh-CN"/>
        </w:rPr>
        <w:t>1</w:t>
      </w:r>
      <w:r>
        <w:rPr>
          <w:rFonts w:hint="eastAsia" w:ascii="宋体" w:hAnsi="宋体" w:cs="宋体"/>
          <w:sz w:val="28"/>
          <w:szCs w:val="28"/>
        </w:rPr>
        <w:t>：《报价书》</w:t>
      </w:r>
    </w:p>
    <w:p w14:paraId="6930D86F">
      <w:pPr>
        <w:spacing w:line="360" w:lineRule="auto"/>
        <w:rPr>
          <w:rFonts w:hint="eastAsia" w:ascii="宋体" w:hAnsi="宋体"/>
          <w:sz w:val="28"/>
          <w:szCs w:val="28"/>
          <w:highlight w:val="yellow"/>
        </w:rPr>
      </w:pPr>
      <w:r>
        <w:rPr>
          <w:rFonts w:hint="eastAsia" w:ascii="宋体" w:hAnsi="宋体" w:cs="宋体"/>
          <w:sz w:val="28"/>
          <w:szCs w:val="28"/>
        </w:rPr>
        <w:t>附件</w:t>
      </w:r>
      <w:r>
        <w:rPr>
          <w:rFonts w:hint="eastAsia" w:ascii="宋体" w:hAnsi="宋体" w:cs="宋体"/>
          <w:sz w:val="28"/>
          <w:szCs w:val="28"/>
          <w:lang w:val="en-US" w:eastAsia="zh-CN"/>
        </w:rPr>
        <w:t>2</w:t>
      </w:r>
      <w:r>
        <w:rPr>
          <w:rFonts w:hint="eastAsia" w:ascii="宋体" w:hAnsi="宋体" w:cs="宋体"/>
          <w:sz w:val="28"/>
          <w:szCs w:val="28"/>
        </w:rPr>
        <w:t>：《渝开发2024年年度市场监测咨询服务工作内容》</w:t>
      </w:r>
    </w:p>
    <w:p w14:paraId="799B601B">
      <w:pPr>
        <w:spacing w:line="360" w:lineRule="auto"/>
        <w:rPr>
          <w:rFonts w:hint="eastAsia" w:ascii="宋体" w:hAnsi="宋体"/>
          <w:bCs/>
          <w:sz w:val="28"/>
          <w:szCs w:val="28"/>
        </w:rPr>
      </w:pPr>
      <w:r>
        <w:rPr>
          <w:rFonts w:hint="eastAsia" w:ascii="宋体" w:hAnsi="宋体"/>
          <w:sz w:val="28"/>
          <w:szCs w:val="28"/>
        </w:rPr>
        <w:t>附件</w:t>
      </w:r>
      <w:r>
        <w:rPr>
          <w:rFonts w:hint="eastAsia" w:ascii="宋体" w:hAnsi="宋体"/>
          <w:sz w:val="28"/>
          <w:szCs w:val="28"/>
          <w:lang w:val="en-US" w:eastAsia="zh-CN"/>
        </w:rPr>
        <w:t>3</w:t>
      </w:r>
      <w:r>
        <w:rPr>
          <w:rFonts w:hint="eastAsia" w:ascii="宋体" w:hAnsi="宋体"/>
          <w:sz w:val="28"/>
          <w:szCs w:val="28"/>
        </w:rPr>
        <w:t>：《授权委托书》</w:t>
      </w:r>
    </w:p>
    <w:p w14:paraId="7E1CEBD2">
      <w:pPr>
        <w:adjustRightInd w:val="0"/>
        <w:snapToGrid w:val="0"/>
        <w:spacing w:line="360" w:lineRule="auto"/>
        <w:rPr>
          <w:rFonts w:hint="eastAsia" w:ascii="宋体" w:hAnsi="宋体" w:cs="宋体"/>
          <w:sz w:val="28"/>
          <w:szCs w:val="28"/>
        </w:rPr>
      </w:pPr>
      <w:r>
        <w:rPr>
          <w:rFonts w:hint="eastAsia" w:ascii="宋体" w:hAnsi="宋体"/>
          <w:sz w:val="28"/>
          <w:szCs w:val="28"/>
        </w:rPr>
        <w:t>附件</w:t>
      </w:r>
      <w:r>
        <w:rPr>
          <w:rFonts w:hint="eastAsia" w:ascii="宋体" w:hAnsi="宋体"/>
          <w:sz w:val="28"/>
          <w:szCs w:val="28"/>
          <w:lang w:val="en-US" w:eastAsia="zh-CN"/>
        </w:rPr>
        <w:t>4</w:t>
      </w:r>
      <w:r>
        <w:rPr>
          <w:rFonts w:hint="eastAsia" w:ascii="宋体" w:hAnsi="宋体"/>
          <w:sz w:val="28"/>
          <w:szCs w:val="28"/>
        </w:rPr>
        <w:t>：《法定代表人身份证明书》</w:t>
      </w:r>
    </w:p>
    <w:p w14:paraId="16C0DAE7">
      <w:pPr>
        <w:adjustRightInd w:val="0"/>
        <w:snapToGrid w:val="0"/>
        <w:spacing w:line="360" w:lineRule="auto"/>
        <w:rPr>
          <w:rFonts w:hint="eastAsia" w:ascii="宋体" w:hAnsi="宋体"/>
          <w:sz w:val="28"/>
          <w:szCs w:val="28"/>
        </w:rPr>
      </w:pPr>
      <w:r>
        <w:rPr>
          <w:rFonts w:hint="eastAsia" w:ascii="宋体" w:hAnsi="宋体" w:cs="宋体"/>
          <w:sz w:val="28"/>
          <w:szCs w:val="28"/>
        </w:rPr>
        <w:t>附件</w:t>
      </w:r>
      <w:r>
        <w:rPr>
          <w:rFonts w:hint="eastAsia" w:ascii="宋体" w:hAnsi="宋体" w:cs="宋体"/>
          <w:sz w:val="28"/>
          <w:szCs w:val="28"/>
          <w:lang w:val="en-US" w:eastAsia="zh-CN"/>
        </w:rPr>
        <w:t>5</w:t>
      </w:r>
      <w:r>
        <w:rPr>
          <w:rFonts w:hint="eastAsia" w:ascii="宋体" w:hAnsi="宋体" w:cs="宋体"/>
          <w:sz w:val="28"/>
          <w:szCs w:val="28"/>
        </w:rPr>
        <w:t>：</w:t>
      </w:r>
      <w:r>
        <w:rPr>
          <w:rFonts w:hint="eastAsia" w:ascii="宋体" w:hAnsi="宋体"/>
          <w:sz w:val="28"/>
          <w:szCs w:val="28"/>
        </w:rPr>
        <w:t>《承诺书》</w:t>
      </w:r>
    </w:p>
    <w:p w14:paraId="087B945D">
      <w:pPr>
        <w:adjustRightInd w:val="0"/>
        <w:snapToGrid w:val="0"/>
        <w:spacing w:line="360" w:lineRule="auto"/>
        <w:rPr>
          <w:rFonts w:hint="eastAsia" w:ascii="宋体" w:hAnsi="宋体"/>
          <w:sz w:val="28"/>
          <w:szCs w:val="28"/>
        </w:rPr>
      </w:pPr>
      <w:r>
        <w:rPr>
          <w:rFonts w:hint="eastAsia" w:ascii="宋体" w:hAnsi="宋体"/>
          <w:sz w:val="28"/>
          <w:szCs w:val="28"/>
        </w:rPr>
        <w:t>附件</w:t>
      </w:r>
      <w:r>
        <w:rPr>
          <w:rFonts w:hint="eastAsia" w:ascii="宋体" w:hAnsi="宋体"/>
          <w:sz w:val="28"/>
          <w:szCs w:val="28"/>
          <w:lang w:val="en-US" w:eastAsia="zh-CN"/>
        </w:rPr>
        <w:t>6</w:t>
      </w:r>
      <w:r>
        <w:rPr>
          <w:rFonts w:hint="eastAsia" w:ascii="宋体" w:hAnsi="宋体"/>
          <w:sz w:val="28"/>
          <w:szCs w:val="28"/>
        </w:rPr>
        <w:t>：《业绩合同要求》</w:t>
      </w:r>
    </w:p>
    <w:p w14:paraId="330818C9">
      <w:pPr>
        <w:spacing w:line="360" w:lineRule="auto"/>
        <w:rPr>
          <w:rFonts w:hint="eastAsia" w:ascii="宋体" w:hAnsi="宋体"/>
          <w:sz w:val="28"/>
          <w:szCs w:val="28"/>
        </w:rPr>
      </w:pPr>
      <w:r>
        <w:rPr>
          <w:rFonts w:hint="eastAsia" w:ascii="宋体" w:hAnsi="宋体" w:cs="宋体"/>
          <w:sz w:val="28"/>
          <w:szCs w:val="28"/>
        </w:rPr>
        <w:t>附件</w:t>
      </w:r>
      <w:r>
        <w:rPr>
          <w:rFonts w:hint="eastAsia" w:ascii="宋体" w:hAnsi="宋体" w:cs="宋体"/>
          <w:sz w:val="28"/>
          <w:szCs w:val="28"/>
          <w:lang w:val="en-US" w:eastAsia="zh-CN"/>
        </w:rPr>
        <w:t>7</w:t>
      </w:r>
      <w:r>
        <w:rPr>
          <w:rFonts w:hint="eastAsia" w:ascii="宋体" w:hAnsi="宋体" w:cs="宋体"/>
          <w:sz w:val="28"/>
          <w:szCs w:val="28"/>
        </w:rPr>
        <w:t>：</w:t>
      </w:r>
      <w:r>
        <w:rPr>
          <w:rFonts w:hint="eastAsia" w:ascii="宋体" w:hAnsi="宋体" w:cs="宋体"/>
          <w:bCs/>
          <w:sz w:val="28"/>
          <w:szCs w:val="28"/>
        </w:rPr>
        <w:t>《渝开发2024年年度市场监测咨询服务合同》</w:t>
      </w:r>
    </w:p>
    <w:p w14:paraId="10A8D8F4">
      <w:pPr>
        <w:adjustRightInd w:val="0"/>
        <w:snapToGrid w:val="0"/>
        <w:spacing w:line="360" w:lineRule="auto"/>
        <w:rPr>
          <w:rFonts w:hint="eastAsia" w:ascii="宋体" w:hAnsi="宋体"/>
          <w:sz w:val="28"/>
          <w:szCs w:val="28"/>
        </w:rPr>
      </w:pPr>
    </w:p>
    <w:p w14:paraId="6E382A1D">
      <w:pPr>
        <w:pStyle w:val="18"/>
        <w:adjustRightInd w:val="0"/>
        <w:snapToGrid w:val="0"/>
        <w:ind w:firstLine="0"/>
        <w:jc w:val="left"/>
        <w:rPr>
          <w:rFonts w:hint="eastAsia" w:ascii="宋体" w:hAnsi="宋体"/>
          <w:b/>
          <w:kern w:val="2"/>
          <w:sz w:val="28"/>
          <w:szCs w:val="28"/>
        </w:rPr>
        <w:sectPr>
          <w:footerReference r:id="rId3" w:type="default"/>
          <w:pgSz w:w="11906" w:h="16838"/>
          <w:pgMar w:top="1304" w:right="1587" w:bottom="1304" w:left="935" w:header="851" w:footer="992" w:gutter="0"/>
          <w:cols w:space="720" w:num="1"/>
          <w:docGrid w:linePitch="312" w:charSpace="0"/>
        </w:sectPr>
      </w:pPr>
    </w:p>
    <w:p w14:paraId="5AF60DC6">
      <w:pPr>
        <w:pStyle w:val="18"/>
        <w:snapToGrid w:val="0"/>
        <w:ind w:firstLine="0"/>
        <w:jc w:val="left"/>
        <w:rPr>
          <w:rFonts w:hint="eastAsia" w:ascii="宋体" w:hAnsi="宋体" w:eastAsia="宋体"/>
          <w:b/>
          <w:bCs/>
          <w:sz w:val="28"/>
          <w:szCs w:val="28"/>
          <w:lang w:val="en-US" w:eastAsia="zh-CN"/>
        </w:rPr>
      </w:pPr>
      <w:r>
        <w:rPr>
          <w:rFonts w:hint="eastAsia" w:ascii="宋体" w:hAnsi="宋体"/>
          <w:b/>
          <w:bCs/>
          <w:sz w:val="28"/>
          <w:szCs w:val="28"/>
        </w:rPr>
        <w:t>附件</w:t>
      </w:r>
      <w:r>
        <w:rPr>
          <w:rFonts w:hint="eastAsia" w:ascii="宋体" w:hAnsi="宋体"/>
          <w:b/>
          <w:bCs/>
          <w:sz w:val="28"/>
          <w:szCs w:val="28"/>
          <w:lang w:val="en-US" w:eastAsia="zh-CN"/>
        </w:rPr>
        <w:t>1</w:t>
      </w:r>
    </w:p>
    <w:p w14:paraId="44003333">
      <w:pPr>
        <w:adjustRightInd w:val="0"/>
        <w:snapToGrid w:val="0"/>
        <w:spacing w:line="360" w:lineRule="auto"/>
        <w:rPr>
          <w:rFonts w:hint="eastAsia" w:ascii="宋体" w:hAnsi="宋体" w:cs="宋体"/>
          <w:b/>
          <w:bCs/>
          <w:sz w:val="28"/>
          <w:szCs w:val="28"/>
        </w:rPr>
      </w:pPr>
    </w:p>
    <w:p w14:paraId="3BAB9B32">
      <w:pPr>
        <w:pStyle w:val="2"/>
        <w:numPr>
          <w:ilvl w:val="0"/>
          <w:numId w:val="0"/>
        </w:numPr>
        <w:adjustRightInd w:val="0"/>
        <w:snapToGrid w:val="0"/>
        <w:spacing w:before="0" w:after="0"/>
      </w:pPr>
      <w:r>
        <w:rPr>
          <w:rFonts w:hint="eastAsia"/>
        </w:rPr>
        <w:t>报价书</w:t>
      </w:r>
    </w:p>
    <w:p w14:paraId="1C789429">
      <w:pPr>
        <w:pStyle w:val="3"/>
      </w:pPr>
    </w:p>
    <w:p w14:paraId="7E604F26">
      <w:pPr>
        <w:spacing w:line="360" w:lineRule="auto"/>
        <w:rPr>
          <w:rFonts w:hint="eastAsia" w:ascii="宋体" w:hAnsi="宋体"/>
          <w:sz w:val="28"/>
          <w:szCs w:val="28"/>
        </w:rPr>
      </w:pPr>
      <w:r>
        <w:rPr>
          <w:rFonts w:hint="eastAsia" w:ascii="宋体" w:hAnsi="宋体" w:cs="宋体"/>
          <w:sz w:val="28"/>
          <w:szCs w:val="28"/>
        </w:rPr>
        <w:t xml:space="preserve">   </w:t>
      </w:r>
      <w:r>
        <w:rPr>
          <w:rFonts w:hint="eastAsia" w:ascii="宋体" w:hAnsi="宋体"/>
          <w:sz w:val="28"/>
          <w:szCs w:val="28"/>
        </w:rPr>
        <w:t>致：重庆渝开发股份有限公司</w:t>
      </w:r>
    </w:p>
    <w:p w14:paraId="59EDBD71">
      <w:pPr>
        <w:pStyle w:val="3"/>
        <w:spacing w:line="360" w:lineRule="auto"/>
        <w:ind w:firstLine="560"/>
        <w:rPr>
          <w:bCs/>
          <w:sz w:val="28"/>
          <w:szCs w:val="28"/>
        </w:rPr>
      </w:pPr>
      <w:r>
        <w:rPr>
          <w:rFonts w:hint="eastAsia"/>
          <w:sz w:val="28"/>
          <w:szCs w:val="28"/>
        </w:rPr>
        <w:t>我司经踏勘现场和研究</w:t>
      </w:r>
      <w:r>
        <w:rPr>
          <w:rFonts w:hint="eastAsia" w:ascii="宋体" w:hAnsi="宋体" w:cs="宋体"/>
          <w:bCs/>
          <w:sz w:val="28"/>
          <w:szCs w:val="28"/>
          <w:u w:val="single"/>
        </w:rPr>
        <w:t>渝开发</w:t>
      </w:r>
      <w:r>
        <w:rPr>
          <w:rFonts w:hint="eastAsia" w:ascii="宋体" w:hAnsi="宋体" w:cs="宋体"/>
          <w:sz w:val="28"/>
          <w:szCs w:val="28"/>
          <w:u w:val="single"/>
        </w:rPr>
        <w:t>2024年年度市场监测咨询服务合作</w:t>
      </w:r>
      <w:r>
        <w:rPr>
          <w:rFonts w:ascii="宋体" w:hAnsi="宋体" w:cs="宋体"/>
          <w:sz w:val="28"/>
          <w:szCs w:val="28"/>
          <w:u w:val="single"/>
        </w:rPr>
        <w:t>单位</w:t>
      </w:r>
      <w:r>
        <w:rPr>
          <w:rFonts w:hint="eastAsia" w:ascii="宋体" w:hAnsi="宋体" w:cs="宋体"/>
          <w:sz w:val="28"/>
          <w:szCs w:val="28"/>
          <w:u w:val="single"/>
        </w:rPr>
        <w:t>竞争性比选文件</w:t>
      </w:r>
      <w:r>
        <w:rPr>
          <w:rFonts w:hint="eastAsia"/>
          <w:sz w:val="28"/>
          <w:szCs w:val="28"/>
        </w:rPr>
        <w:t>等所有内容后，完全认可其全部内容，我方愿以合计总金额人民币￥</w:t>
      </w:r>
      <w:r>
        <w:rPr>
          <w:rFonts w:hint="eastAsia"/>
          <w:sz w:val="28"/>
          <w:szCs w:val="28"/>
          <w:u w:val="single"/>
        </w:rPr>
        <w:t xml:space="preserve"> 　       　  </w:t>
      </w:r>
      <w:r>
        <w:rPr>
          <w:rFonts w:hint="eastAsia"/>
          <w:sz w:val="28"/>
          <w:szCs w:val="28"/>
        </w:rPr>
        <w:t>元/年（大写</w:t>
      </w:r>
      <w:r>
        <w:rPr>
          <w:rFonts w:hint="eastAsia"/>
          <w:sz w:val="28"/>
          <w:szCs w:val="28"/>
          <w:u w:val="single"/>
        </w:rPr>
        <w:t xml:space="preserve">                    </w:t>
      </w:r>
      <w:r>
        <w:rPr>
          <w:rFonts w:hint="eastAsia"/>
          <w:sz w:val="28"/>
          <w:szCs w:val="28"/>
        </w:rPr>
        <w:t>元）/年（含税包干总价）。完成比选文件要求的全部工作内容</w:t>
      </w:r>
      <w:r>
        <w:rPr>
          <w:rFonts w:hint="eastAsia"/>
          <w:bCs/>
          <w:sz w:val="28"/>
          <w:szCs w:val="28"/>
        </w:rPr>
        <w:t>，据实办理费用支付与合同结算，并及时按照贵司要求提供等额增值税发票。</w:t>
      </w:r>
    </w:p>
    <w:p w14:paraId="55969700">
      <w:pPr>
        <w:spacing w:line="360" w:lineRule="auto"/>
        <w:ind w:right="-136" w:rightChars="-65" w:firstLine="560" w:firstLineChars="200"/>
        <w:rPr>
          <w:rFonts w:hint="eastAsia" w:ascii="宋体" w:hAnsi="宋体"/>
          <w:sz w:val="28"/>
          <w:szCs w:val="28"/>
        </w:rPr>
      </w:pPr>
      <w:r>
        <w:rPr>
          <w:rFonts w:hint="eastAsia" w:ascii="宋体" w:hAnsi="宋体"/>
          <w:sz w:val="28"/>
          <w:szCs w:val="28"/>
        </w:rPr>
        <w:t>如果我方中选</w:t>
      </w:r>
      <w:r>
        <w:rPr>
          <w:rFonts w:ascii="宋体" w:hAnsi="宋体"/>
          <w:sz w:val="28"/>
          <w:szCs w:val="28"/>
        </w:rPr>
        <w:t>:</w:t>
      </w:r>
    </w:p>
    <w:p w14:paraId="4D8F1C15">
      <w:pPr>
        <w:spacing w:line="360" w:lineRule="auto"/>
        <w:ind w:right="-136" w:rightChars="-65" w:firstLine="560" w:firstLineChars="200"/>
        <w:rPr>
          <w:rFonts w:hint="eastAsia" w:ascii="宋体" w:hAnsi="宋体"/>
          <w:sz w:val="28"/>
          <w:szCs w:val="28"/>
        </w:rPr>
      </w:pPr>
      <w:r>
        <w:rPr>
          <w:rFonts w:hint="eastAsia" w:ascii="宋体" w:hAnsi="宋体"/>
          <w:sz w:val="28"/>
          <w:szCs w:val="28"/>
        </w:rPr>
        <w:t>（</w:t>
      </w:r>
      <w:r>
        <w:rPr>
          <w:rFonts w:ascii="宋体" w:hAnsi="宋体"/>
          <w:sz w:val="28"/>
          <w:szCs w:val="28"/>
        </w:rPr>
        <w:t>l</w:t>
      </w:r>
      <w:r>
        <w:rPr>
          <w:rFonts w:hint="eastAsia" w:ascii="宋体" w:hAnsi="宋体"/>
          <w:sz w:val="28"/>
          <w:szCs w:val="28"/>
        </w:rPr>
        <w:t>）我司承诺在收到中选通知书后，在中选通知书规定的期限内与贵司衔接签订合同，接受比选文件约定的所有内容；</w:t>
      </w:r>
    </w:p>
    <w:p w14:paraId="29D6A929">
      <w:pPr>
        <w:spacing w:line="360" w:lineRule="auto"/>
        <w:ind w:right="-136" w:rightChars="-65" w:firstLine="560" w:firstLineChars="200"/>
        <w:rPr>
          <w:rFonts w:hint="eastAsia" w:ascii="宋体" w:hAns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）我司保证在合同约定的期限内按要求完成全部工作内容，</w:t>
      </w:r>
      <w:r>
        <w:rPr>
          <w:rFonts w:hint="eastAsia" w:ascii="宋体" w:hAnsi="宋体" w:cs="宋体"/>
          <w:sz w:val="28"/>
          <w:szCs w:val="28"/>
        </w:rPr>
        <w:t>并提供等额增值税发票</w:t>
      </w:r>
      <w:r>
        <w:rPr>
          <w:rFonts w:hint="eastAsia" w:ascii="宋体" w:hAnsi="宋体"/>
          <w:sz w:val="28"/>
          <w:szCs w:val="28"/>
        </w:rPr>
        <w:t>。</w:t>
      </w:r>
    </w:p>
    <w:p w14:paraId="4FEE50E2">
      <w:pPr>
        <w:spacing w:line="360" w:lineRule="auto"/>
        <w:ind w:right="-136" w:rightChars="-65" w:firstLine="560" w:firstLineChars="200"/>
        <w:rPr>
          <w:rFonts w:hint="eastAsia" w:ascii="宋体" w:hAns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）我司已充分了解现场及任何其他足以影响价格的情况，参选不因市场价格的变化而调整。</w:t>
      </w:r>
    </w:p>
    <w:p w14:paraId="1485FB76">
      <w:pPr>
        <w:pStyle w:val="3"/>
        <w:spacing w:line="360" w:lineRule="auto"/>
        <w:ind w:firstLine="0" w:firstLineChars="0"/>
        <w:rPr>
          <w:rFonts w:hint="eastAsia" w:ascii="宋体" w:hAnsi="宋体" w:cs="宋体"/>
          <w:bCs/>
          <w:sz w:val="28"/>
          <w:szCs w:val="28"/>
        </w:rPr>
      </w:pPr>
      <w:r>
        <w:rPr>
          <w:rFonts w:hint="eastAsia" w:ascii="宋体" w:hAnsi="宋体"/>
          <w:sz w:val="28"/>
          <w:szCs w:val="28"/>
        </w:rPr>
        <w:t xml:space="preserve">    </w:t>
      </w:r>
    </w:p>
    <w:p w14:paraId="0C942D0E">
      <w:pPr>
        <w:tabs>
          <w:tab w:val="left" w:pos="360"/>
          <w:tab w:val="left" w:pos="900"/>
          <w:tab w:val="left" w:pos="1080"/>
        </w:tabs>
        <w:adjustRightInd w:val="0"/>
        <w:snapToGrid w:val="0"/>
        <w:spacing w:line="360" w:lineRule="auto"/>
        <w:ind w:firstLine="361" w:firstLineChars="150"/>
        <w:rPr>
          <w:rFonts w:hint="eastAsia" w:ascii="宋体" w:hAnsi="宋体" w:cs="宋体"/>
          <w:b/>
          <w:kern w:val="0"/>
          <w:sz w:val="24"/>
        </w:rPr>
      </w:pPr>
    </w:p>
    <w:p w14:paraId="24FA032F">
      <w:pPr>
        <w:widowControl/>
        <w:spacing w:line="360" w:lineRule="auto"/>
        <w:rPr>
          <w:rFonts w:hint="eastAsia" w:ascii="宋体" w:hAnsi="宋体" w:cs="宋体"/>
          <w:b/>
          <w:kern w:val="0"/>
          <w:sz w:val="24"/>
        </w:rPr>
      </w:pPr>
      <w:r>
        <w:rPr>
          <w:rFonts w:hint="eastAsia" w:ascii="宋体" w:hAnsi="宋体" w:cs="宋体"/>
          <w:sz w:val="28"/>
          <w:szCs w:val="28"/>
        </w:rPr>
        <w:t xml:space="preserve">                                          参选人（盖公章）：</w:t>
      </w:r>
    </w:p>
    <w:p w14:paraId="4AB90523">
      <w:pPr>
        <w:adjustRightInd w:val="0"/>
        <w:snapToGrid w:val="0"/>
        <w:spacing w:line="360" w:lineRule="auto"/>
        <w:jc w:val="right"/>
        <w:rPr>
          <w:rFonts w:hint="eastAsia" w:ascii="宋体" w:hAnsi="宋体" w:cs="宋体"/>
          <w:sz w:val="28"/>
          <w:szCs w:val="28"/>
        </w:rPr>
      </w:pPr>
      <w:r>
        <w:rPr>
          <w:rFonts w:hint="eastAsia" w:ascii="宋体" w:hAnsi="宋体" w:cs="宋体"/>
          <w:sz w:val="28"/>
          <w:szCs w:val="28"/>
        </w:rPr>
        <w:t>法定代表人（签字或盖章）：</w:t>
      </w:r>
    </w:p>
    <w:p w14:paraId="2AE8CA8F">
      <w:pPr>
        <w:adjustRightInd w:val="0"/>
        <w:snapToGrid w:val="0"/>
        <w:spacing w:line="360" w:lineRule="auto"/>
        <w:jc w:val="right"/>
        <w:rPr>
          <w:rFonts w:hint="eastAsia" w:ascii="宋体" w:hAnsi="宋体" w:cs="宋体"/>
          <w:sz w:val="28"/>
          <w:szCs w:val="28"/>
        </w:rPr>
      </w:pPr>
    </w:p>
    <w:p w14:paraId="051C9CAF">
      <w:pPr>
        <w:pStyle w:val="3"/>
        <w:ind w:firstLine="0" w:firstLineChars="0"/>
        <w:rPr>
          <w:rFonts w:hint="eastAsia" w:ascii="宋体" w:hAnsi="宋体" w:eastAsia="宋体" w:cs="宋体"/>
          <w:b/>
          <w:sz w:val="28"/>
          <w:szCs w:val="28"/>
          <w:lang w:val="en-US" w:eastAsia="zh-CN"/>
        </w:rPr>
      </w:pPr>
      <w:r>
        <w:rPr>
          <w:rFonts w:hint="eastAsia" w:ascii="宋体" w:hAnsi="宋体" w:cs="宋体"/>
          <w:b/>
          <w:sz w:val="28"/>
          <w:szCs w:val="28"/>
        </w:rPr>
        <w:br w:type="page"/>
      </w:r>
      <w:r>
        <w:rPr>
          <w:rFonts w:hint="eastAsia" w:ascii="宋体" w:hAnsi="宋体" w:cs="宋体"/>
          <w:b/>
          <w:sz w:val="28"/>
          <w:szCs w:val="28"/>
        </w:rPr>
        <w:t>附件</w:t>
      </w:r>
      <w:r>
        <w:rPr>
          <w:rFonts w:hint="eastAsia" w:ascii="宋体" w:hAnsi="宋体" w:cs="宋体"/>
          <w:b/>
          <w:sz w:val="28"/>
          <w:szCs w:val="28"/>
          <w:lang w:val="en-US" w:eastAsia="zh-CN"/>
        </w:rPr>
        <w:t>2</w:t>
      </w:r>
    </w:p>
    <w:p w14:paraId="089FEC27">
      <w:pPr>
        <w:pStyle w:val="11"/>
        <w:ind w:firstLine="562" w:firstLineChars="200"/>
        <w:jc w:val="center"/>
        <w:rPr>
          <w:rFonts w:hint="eastAsia" w:ascii="宋体" w:hAnsi="宋体"/>
          <w:bCs w:val="0"/>
          <w:sz w:val="28"/>
          <w:szCs w:val="28"/>
        </w:rPr>
      </w:pPr>
      <w:r>
        <w:rPr>
          <w:rFonts w:hint="eastAsia" w:ascii="宋体" w:hAnsi="宋体" w:cs="宋体"/>
          <w:sz w:val="28"/>
          <w:szCs w:val="28"/>
        </w:rPr>
        <w:t>渝开发2024年年度市场监测咨询服务工作内容</w:t>
      </w:r>
    </w:p>
    <w:tbl>
      <w:tblPr>
        <w:tblStyle w:val="12"/>
        <w:tblW w:w="53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
        <w:gridCol w:w="767"/>
        <w:gridCol w:w="2011"/>
        <w:gridCol w:w="6862"/>
      </w:tblGrid>
      <w:tr w14:paraId="0CD9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73" w:type="pct"/>
            <w:shd w:val="clear" w:color="auto" w:fill="D9D9D9"/>
            <w:vAlign w:val="center"/>
          </w:tcPr>
          <w:p w14:paraId="347032E6">
            <w:pPr>
              <w:widowControl/>
              <w:spacing w:line="320" w:lineRule="exact"/>
              <w:jc w:val="center"/>
              <w:textAlignment w:val="center"/>
              <w:rPr>
                <w:rFonts w:hint="eastAsia" w:ascii="黑体" w:hAnsi="宋体" w:eastAsia="黑体" w:cs="黑体"/>
                <w:b/>
                <w:bCs/>
                <w:color w:val="000000"/>
                <w:szCs w:val="21"/>
              </w:rPr>
            </w:pPr>
            <w:r>
              <w:rPr>
                <w:rFonts w:hint="eastAsia" w:ascii="黑体" w:hAnsi="宋体" w:eastAsia="黑体" w:cs="黑体"/>
                <w:b/>
                <w:bCs/>
                <w:color w:val="000000"/>
                <w:kern w:val="0"/>
                <w:szCs w:val="21"/>
                <w:lang w:bidi="ar"/>
              </w:rPr>
              <w:t>序号</w:t>
            </w:r>
          </w:p>
        </w:tc>
        <w:tc>
          <w:tcPr>
            <w:tcW w:w="1362" w:type="pct"/>
            <w:gridSpan w:val="2"/>
            <w:shd w:val="clear" w:color="auto" w:fill="D9D9D9"/>
            <w:vAlign w:val="center"/>
          </w:tcPr>
          <w:p w14:paraId="465B8B34">
            <w:pPr>
              <w:widowControl/>
              <w:spacing w:line="320" w:lineRule="exact"/>
              <w:jc w:val="center"/>
              <w:textAlignment w:val="center"/>
              <w:rPr>
                <w:rFonts w:hint="eastAsia" w:ascii="黑体" w:hAnsi="宋体" w:eastAsia="黑体" w:cs="黑体"/>
                <w:b/>
                <w:bCs/>
                <w:color w:val="000000"/>
                <w:szCs w:val="21"/>
              </w:rPr>
            </w:pPr>
            <w:r>
              <w:rPr>
                <w:rFonts w:hint="eastAsia" w:ascii="黑体" w:hAnsi="宋体" w:eastAsia="黑体" w:cs="黑体"/>
                <w:b/>
                <w:bCs/>
                <w:color w:val="000000"/>
                <w:kern w:val="0"/>
                <w:szCs w:val="21"/>
                <w:lang w:bidi="ar"/>
              </w:rPr>
              <w:t>服务内容</w:t>
            </w:r>
          </w:p>
        </w:tc>
        <w:tc>
          <w:tcPr>
            <w:tcW w:w="3364" w:type="pct"/>
            <w:shd w:val="clear" w:color="auto" w:fill="D9D9D9"/>
            <w:vAlign w:val="center"/>
          </w:tcPr>
          <w:p w14:paraId="78FE3E6E">
            <w:pPr>
              <w:widowControl/>
              <w:spacing w:line="320" w:lineRule="exact"/>
              <w:jc w:val="center"/>
              <w:textAlignment w:val="center"/>
              <w:rPr>
                <w:rFonts w:hint="eastAsia" w:ascii="黑体" w:hAnsi="宋体" w:eastAsia="黑体" w:cs="黑体"/>
                <w:b/>
                <w:bCs/>
                <w:color w:val="000000"/>
                <w:szCs w:val="21"/>
              </w:rPr>
            </w:pPr>
            <w:r>
              <w:rPr>
                <w:rFonts w:hint="eastAsia" w:ascii="黑体" w:hAnsi="宋体" w:eastAsia="黑体" w:cs="黑体"/>
                <w:b/>
                <w:bCs/>
                <w:color w:val="000000"/>
                <w:kern w:val="0"/>
                <w:szCs w:val="21"/>
                <w:lang w:bidi="ar"/>
              </w:rPr>
              <w:t>服务项目</w:t>
            </w:r>
          </w:p>
        </w:tc>
      </w:tr>
      <w:tr w14:paraId="6BDF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273" w:type="pct"/>
            <w:vMerge w:val="restart"/>
            <w:shd w:val="clear" w:color="auto" w:fill="auto"/>
            <w:vAlign w:val="center"/>
          </w:tcPr>
          <w:p w14:paraId="76CCFC32">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1</w:t>
            </w:r>
          </w:p>
        </w:tc>
        <w:tc>
          <w:tcPr>
            <w:tcW w:w="376" w:type="pct"/>
            <w:vMerge w:val="restart"/>
            <w:shd w:val="clear" w:color="auto" w:fill="auto"/>
            <w:vAlign w:val="center"/>
          </w:tcPr>
          <w:p w14:paraId="58FF5D2A">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周度</w:t>
            </w:r>
          </w:p>
        </w:tc>
        <w:tc>
          <w:tcPr>
            <w:tcW w:w="985" w:type="pct"/>
            <w:vMerge w:val="restart"/>
            <w:shd w:val="clear" w:color="auto" w:fill="auto"/>
            <w:vAlign w:val="center"/>
          </w:tcPr>
          <w:p w14:paraId="23428A70">
            <w:pPr>
              <w:widowControl/>
              <w:spacing w:line="320" w:lineRule="exact"/>
              <w:jc w:val="center"/>
              <w:textAlignment w:val="center"/>
              <w:rPr>
                <w:rFonts w:hint="eastAsia"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普通周报</w:t>
            </w:r>
          </w:p>
          <w:p w14:paraId="0D2BA0B5">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（2个）</w:t>
            </w:r>
          </w:p>
        </w:tc>
        <w:tc>
          <w:tcPr>
            <w:tcW w:w="3364" w:type="pct"/>
            <w:shd w:val="clear" w:color="auto" w:fill="auto"/>
            <w:vAlign w:val="center"/>
          </w:tcPr>
          <w:p w14:paraId="1FB3DDD6">
            <w:pPr>
              <w:widowControl/>
              <w:numPr>
                <w:ilvl w:val="0"/>
                <w:numId w:val="3"/>
              </w:numPr>
              <w:spacing w:line="320" w:lineRule="exact"/>
              <w:jc w:val="left"/>
              <w:textAlignment w:val="center"/>
              <w:rPr>
                <w:rFonts w:hint="eastAsia"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《重庆市中心城区土地市场周报》</w:t>
            </w:r>
          </w:p>
          <w:p w14:paraId="61A2FDE3">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1、土地供应分析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2、土地成交分析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3、土地成交预告</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4、控规修改</w:t>
            </w:r>
          </w:p>
        </w:tc>
      </w:tr>
      <w:tr w14:paraId="547BC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trPr>
        <w:tc>
          <w:tcPr>
            <w:tcW w:w="273" w:type="pct"/>
            <w:vMerge w:val="continue"/>
            <w:shd w:val="clear" w:color="auto" w:fill="auto"/>
            <w:vAlign w:val="center"/>
          </w:tcPr>
          <w:p w14:paraId="54C49C09">
            <w:pPr>
              <w:widowControl/>
              <w:spacing w:line="320" w:lineRule="exact"/>
              <w:jc w:val="center"/>
              <w:rPr>
                <w:rFonts w:hint="eastAsia" w:ascii="黑体" w:hAnsi="宋体" w:eastAsia="黑体" w:cs="黑体"/>
                <w:color w:val="000000"/>
                <w:sz w:val="20"/>
                <w:szCs w:val="20"/>
              </w:rPr>
            </w:pPr>
          </w:p>
        </w:tc>
        <w:tc>
          <w:tcPr>
            <w:tcW w:w="376" w:type="pct"/>
            <w:vMerge w:val="continue"/>
            <w:shd w:val="clear" w:color="auto" w:fill="auto"/>
            <w:vAlign w:val="center"/>
          </w:tcPr>
          <w:p w14:paraId="1AABDEBF">
            <w:pPr>
              <w:widowControl/>
              <w:spacing w:line="320" w:lineRule="exact"/>
              <w:jc w:val="center"/>
              <w:rPr>
                <w:rFonts w:hint="eastAsia" w:ascii="黑体" w:hAnsi="宋体" w:eastAsia="黑体" w:cs="黑体"/>
                <w:color w:val="000000"/>
                <w:sz w:val="20"/>
                <w:szCs w:val="20"/>
              </w:rPr>
            </w:pPr>
          </w:p>
        </w:tc>
        <w:tc>
          <w:tcPr>
            <w:tcW w:w="985" w:type="pct"/>
            <w:vMerge w:val="continue"/>
            <w:shd w:val="clear" w:color="auto" w:fill="auto"/>
            <w:vAlign w:val="center"/>
          </w:tcPr>
          <w:p w14:paraId="7F5BD445">
            <w:pPr>
              <w:widowControl/>
              <w:spacing w:line="320" w:lineRule="exact"/>
              <w:jc w:val="center"/>
              <w:rPr>
                <w:rFonts w:hint="eastAsia" w:ascii="黑体" w:hAnsi="宋体" w:eastAsia="黑体" w:cs="黑体"/>
                <w:color w:val="000000"/>
                <w:sz w:val="20"/>
                <w:szCs w:val="20"/>
              </w:rPr>
            </w:pPr>
          </w:p>
        </w:tc>
        <w:tc>
          <w:tcPr>
            <w:tcW w:w="3364" w:type="pct"/>
            <w:shd w:val="clear" w:color="auto" w:fill="auto"/>
            <w:vAlign w:val="center"/>
          </w:tcPr>
          <w:p w14:paraId="6F7605A3">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（二）《重庆市中心城区房地产市场周报》</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1、周度大事件：政策焦点/行业资讯/城市规划/经济产业</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2、商品房市场成交排行</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3、整体市场供需分析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4、细分市场供需分析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5、商品房市场供应分析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6、营销推广分析</w:t>
            </w:r>
          </w:p>
        </w:tc>
      </w:tr>
      <w:tr w14:paraId="345AE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73" w:type="pct"/>
            <w:vMerge w:val="continue"/>
            <w:shd w:val="clear" w:color="auto" w:fill="auto"/>
            <w:vAlign w:val="center"/>
          </w:tcPr>
          <w:p w14:paraId="0FC0810A">
            <w:pPr>
              <w:widowControl/>
              <w:spacing w:line="320" w:lineRule="exact"/>
              <w:jc w:val="center"/>
              <w:rPr>
                <w:rFonts w:hint="eastAsia" w:ascii="黑体" w:hAnsi="宋体" w:eastAsia="黑体" w:cs="黑体"/>
                <w:color w:val="000000"/>
                <w:sz w:val="20"/>
                <w:szCs w:val="20"/>
              </w:rPr>
            </w:pPr>
          </w:p>
        </w:tc>
        <w:tc>
          <w:tcPr>
            <w:tcW w:w="376" w:type="pct"/>
            <w:vMerge w:val="continue"/>
            <w:shd w:val="clear" w:color="auto" w:fill="auto"/>
            <w:vAlign w:val="center"/>
          </w:tcPr>
          <w:p w14:paraId="1D000239">
            <w:pPr>
              <w:widowControl/>
              <w:spacing w:line="320" w:lineRule="exact"/>
              <w:jc w:val="center"/>
              <w:rPr>
                <w:rFonts w:hint="eastAsia" w:ascii="黑体" w:hAnsi="宋体" w:eastAsia="黑体" w:cs="黑体"/>
                <w:color w:val="000000"/>
                <w:sz w:val="20"/>
                <w:szCs w:val="20"/>
              </w:rPr>
            </w:pPr>
          </w:p>
        </w:tc>
        <w:tc>
          <w:tcPr>
            <w:tcW w:w="985" w:type="pct"/>
            <w:vMerge w:val="restart"/>
            <w:shd w:val="clear" w:color="auto" w:fill="auto"/>
            <w:vAlign w:val="center"/>
          </w:tcPr>
          <w:p w14:paraId="400F8C10">
            <w:pPr>
              <w:widowControl/>
              <w:spacing w:line="320" w:lineRule="exact"/>
              <w:jc w:val="center"/>
              <w:textAlignment w:val="center"/>
              <w:rPr>
                <w:rFonts w:hint="eastAsia"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专属周报</w:t>
            </w:r>
          </w:p>
          <w:p w14:paraId="1CCB6EA4">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（3个）</w:t>
            </w:r>
          </w:p>
        </w:tc>
        <w:tc>
          <w:tcPr>
            <w:tcW w:w="3364" w:type="pct"/>
            <w:shd w:val="clear" w:color="auto" w:fill="auto"/>
            <w:vAlign w:val="center"/>
          </w:tcPr>
          <w:p w14:paraId="3523E5A3">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（一）《渝开发-核心项目周边竞争格局分析报告》</w:t>
            </w:r>
          </w:p>
        </w:tc>
      </w:tr>
      <w:tr w14:paraId="27BD6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73" w:type="pct"/>
            <w:vMerge w:val="continue"/>
            <w:shd w:val="clear" w:color="auto" w:fill="auto"/>
            <w:vAlign w:val="center"/>
          </w:tcPr>
          <w:p w14:paraId="1787FAF7">
            <w:pPr>
              <w:widowControl/>
              <w:spacing w:line="320" w:lineRule="exact"/>
              <w:jc w:val="center"/>
              <w:rPr>
                <w:rFonts w:hint="eastAsia" w:ascii="黑体" w:hAnsi="宋体" w:eastAsia="黑体" w:cs="黑体"/>
                <w:color w:val="000000"/>
                <w:sz w:val="20"/>
                <w:szCs w:val="20"/>
              </w:rPr>
            </w:pPr>
          </w:p>
        </w:tc>
        <w:tc>
          <w:tcPr>
            <w:tcW w:w="376" w:type="pct"/>
            <w:vMerge w:val="continue"/>
            <w:shd w:val="clear" w:color="auto" w:fill="auto"/>
            <w:vAlign w:val="center"/>
          </w:tcPr>
          <w:p w14:paraId="02C336C3">
            <w:pPr>
              <w:widowControl/>
              <w:spacing w:line="320" w:lineRule="exact"/>
              <w:jc w:val="center"/>
              <w:rPr>
                <w:rFonts w:hint="eastAsia" w:ascii="黑体" w:hAnsi="宋体" w:eastAsia="黑体" w:cs="黑体"/>
                <w:color w:val="000000"/>
                <w:sz w:val="20"/>
                <w:szCs w:val="20"/>
              </w:rPr>
            </w:pPr>
          </w:p>
        </w:tc>
        <w:tc>
          <w:tcPr>
            <w:tcW w:w="985" w:type="pct"/>
            <w:vMerge w:val="continue"/>
            <w:shd w:val="clear" w:color="auto" w:fill="auto"/>
            <w:vAlign w:val="center"/>
          </w:tcPr>
          <w:p w14:paraId="2BD42ADB">
            <w:pPr>
              <w:widowControl/>
              <w:spacing w:line="320" w:lineRule="exact"/>
              <w:jc w:val="center"/>
              <w:rPr>
                <w:rFonts w:hint="eastAsia" w:ascii="黑体" w:hAnsi="宋体" w:eastAsia="黑体" w:cs="黑体"/>
                <w:color w:val="000000"/>
                <w:sz w:val="20"/>
                <w:szCs w:val="20"/>
              </w:rPr>
            </w:pPr>
          </w:p>
        </w:tc>
        <w:tc>
          <w:tcPr>
            <w:tcW w:w="3364" w:type="pct"/>
            <w:shd w:val="clear" w:color="auto" w:fill="auto"/>
            <w:vAlign w:val="center"/>
          </w:tcPr>
          <w:p w14:paraId="79FAF6B9">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（二）《中心城区住宅市场周度简报》</w:t>
            </w:r>
          </w:p>
        </w:tc>
      </w:tr>
      <w:tr w14:paraId="09AD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3" w:type="pct"/>
            <w:vMerge w:val="continue"/>
            <w:shd w:val="clear" w:color="auto" w:fill="auto"/>
            <w:vAlign w:val="center"/>
          </w:tcPr>
          <w:p w14:paraId="7F0E3AB7">
            <w:pPr>
              <w:widowControl/>
              <w:spacing w:line="320" w:lineRule="exact"/>
              <w:jc w:val="center"/>
              <w:rPr>
                <w:rFonts w:hint="eastAsia" w:ascii="黑体" w:hAnsi="宋体" w:eastAsia="黑体" w:cs="黑体"/>
                <w:color w:val="000000"/>
                <w:sz w:val="20"/>
                <w:szCs w:val="20"/>
              </w:rPr>
            </w:pPr>
          </w:p>
        </w:tc>
        <w:tc>
          <w:tcPr>
            <w:tcW w:w="376" w:type="pct"/>
            <w:vMerge w:val="continue"/>
            <w:shd w:val="clear" w:color="auto" w:fill="auto"/>
            <w:vAlign w:val="center"/>
          </w:tcPr>
          <w:p w14:paraId="2D6BC766">
            <w:pPr>
              <w:widowControl/>
              <w:spacing w:line="320" w:lineRule="exact"/>
              <w:jc w:val="center"/>
              <w:rPr>
                <w:rFonts w:hint="eastAsia" w:ascii="黑体" w:hAnsi="宋体" w:eastAsia="黑体" w:cs="黑体"/>
                <w:color w:val="000000"/>
                <w:sz w:val="20"/>
                <w:szCs w:val="20"/>
              </w:rPr>
            </w:pPr>
          </w:p>
        </w:tc>
        <w:tc>
          <w:tcPr>
            <w:tcW w:w="985" w:type="pct"/>
            <w:vMerge w:val="continue"/>
            <w:shd w:val="clear" w:color="auto" w:fill="auto"/>
            <w:vAlign w:val="center"/>
          </w:tcPr>
          <w:p w14:paraId="22EF8D97">
            <w:pPr>
              <w:widowControl/>
              <w:spacing w:line="320" w:lineRule="exact"/>
              <w:jc w:val="center"/>
              <w:rPr>
                <w:rFonts w:hint="eastAsia" w:ascii="黑体" w:hAnsi="宋体" w:eastAsia="黑体" w:cs="黑体"/>
                <w:color w:val="000000"/>
                <w:sz w:val="20"/>
                <w:szCs w:val="20"/>
              </w:rPr>
            </w:pPr>
          </w:p>
        </w:tc>
        <w:tc>
          <w:tcPr>
            <w:tcW w:w="3364" w:type="pct"/>
            <w:shd w:val="clear" w:color="auto" w:fill="auto"/>
            <w:vAlign w:val="center"/>
          </w:tcPr>
          <w:p w14:paraId="44E302BA">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（三）《中心城区及竞品板块周度简报》</w:t>
            </w:r>
          </w:p>
        </w:tc>
      </w:tr>
      <w:tr w14:paraId="70976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73" w:type="pct"/>
            <w:vMerge w:val="continue"/>
            <w:shd w:val="clear" w:color="auto" w:fill="auto"/>
            <w:vAlign w:val="center"/>
          </w:tcPr>
          <w:p w14:paraId="6188316D">
            <w:pPr>
              <w:widowControl/>
              <w:spacing w:line="320" w:lineRule="exact"/>
              <w:jc w:val="center"/>
              <w:rPr>
                <w:rFonts w:hint="eastAsia" w:ascii="黑体" w:hAnsi="宋体" w:eastAsia="黑体" w:cs="黑体"/>
                <w:color w:val="000000"/>
                <w:sz w:val="20"/>
                <w:szCs w:val="20"/>
              </w:rPr>
            </w:pPr>
          </w:p>
        </w:tc>
        <w:tc>
          <w:tcPr>
            <w:tcW w:w="376" w:type="pct"/>
            <w:vMerge w:val="continue"/>
            <w:shd w:val="clear" w:color="auto" w:fill="auto"/>
            <w:vAlign w:val="center"/>
          </w:tcPr>
          <w:p w14:paraId="36794450">
            <w:pPr>
              <w:widowControl/>
              <w:spacing w:line="320" w:lineRule="exact"/>
              <w:jc w:val="center"/>
              <w:rPr>
                <w:rFonts w:hint="eastAsia" w:ascii="黑体" w:hAnsi="宋体" w:eastAsia="黑体" w:cs="黑体"/>
                <w:color w:val="000000"/>
                <w:sz w:val="20"/>
                <w:szCs w:val="20"/>
              </w:rPr>
            </w:pPr>
          </w:p>
        </w:tc>
        <w:tc>
          <w:tcPr>
            <w:tcW w:w="985" w:type="pct"/>
            <w:vMerge w:val="restart"/>
            <w:shd w:val="clear" w:color="auto" w:fill="auto"/>
            <w:vAlign w:val="center"/>
          </w:tcPr>
          <w:p w14:paraId="2F3713F3">
            <w:pPr>
              <w:widowControl/>
              <w:spacing w:line="320" w:lineRule="exact"/>
              <w:jc w:val="center"/>
              <w:textAlignment w:val="center"/>
              <w:rPr>
                <w:rFonts w:hint="eastAsia"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周度数据表</w:t>
            </w:r>
          </w:p>
          <w:p w14:paraId="70042E88">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（4个）</w:t>
            </w:r>
          </w:p>
        </w:tc>
        <w:tc>
          <w:tcPr>
            <w:tcW w:w="3364" w:type="pct"/>
            <w:shd w:val="clear" w:color="auto" w:fill="auto"/>
            <w:vAlign w:val="center"/>
          </w:tcPr>
          <w:p w14:paraId="1AB75EDC">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（一）南樾天宸-竞品成交数据跟踪</w:t>
            </w:r>
          </w:p>
        </w:tc>
      </w:tr>
      <w:tr w14:paraId="6F42A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73" w:type="pct"/>
            <w:vMerge w:val="continue"/>
            <w:shd w:val="clear" w:color="auto" w:fill="auto"/>
            <w:vAlign w:val="center"/>
          </w:tcPr>
          <w:p w14:paraId="09A9E8C0">
            <w:pPr>
              <w:widowControl/>
              <w:spacing w:line="320" w:lineRule="exact"/>
              <w:jc w:val="center"/>
              <w:rPr>
                <w:rFonts w:hint="eastAsia" w:ascii="黑体" w:hAnsi="宋体" w:eastAsia="黑体" w:cs="黑体"/>
                <w:color w:val="000000"/>
                <w:sz w:val="20"/>
                <w:szCs w:val="20"/>
              </w:rPr>
            </w:pPr>
          </w:p>
        </w:tc>
        <w:tc>
          <w:tcPr>
            <w:tcW w:w="376" w:type="pct"/>
            <w:vMerge w:val="continue"/>
            <w:shd w:val="clear" w:color="auto" w:fill="auto"/>
            <w:vAlign w:val="center"/>
          </w:tcPr>
          <w:p w14:paraId="73A2C63C">
            <w:pPr>
              <w:widowControl/>
              <w:spacing w:line="320" w:lineRule="exact"/>
              <w:jc w:val="center"/>
              <w:rPr>
                <w:rFonts w:hint="eastAsia" w:ascii="黑体" w:hAnsi="宋体" w:eastAsia="黑体" w:cs="黑体"/>
                <w:color w:val="000000"/>
                <w:sz w:val="20"/>
                <w:szCs w:val="20"/>
              </w:rPr>
            </w:pPr>
          </w:p>
        </w:tc>
        <w:tc>
          <w:tcPr>
            <w:tcW w:w="985" w:type="pct"/>
            <w:vMerge w:val="continue"/>
            <w:shd w:val="clear" w:color="auto" w:fill="auto"/>
            <w:vAlign w:val="center"/>
          </w:tcPr>
          <w:p w14:paraId="6D1EABCE">
            <w:pPr>
              <w:widowControl/>
              <w:spacing w:line="320" w:lineRule="exact"/>
              <w:jc w:val="center"/>
              <w:rPr>
                <w:rFonts w:hint="eastAsia" w:ascii="黑体" w:hAnsi="宋体" w:eastAsia="黑体" w:cs="黑体"/>
                <w:color w:val="000000"/>
                <w:sz w:val="20"/>
                <w:szCs w:val="20"/>
              </w:rPr>
            </w:pPr>
          </w:p>
        </w:tc>
        <w:tc>
          <w:tcPr>
            <w:tcW w:w="3364" w:type="pct"/>
            <w:shd w:val="clear" w:color="auto" w:fill="auto"/>
            <w:vAlign w:val="center"/>
          </w:tcPr>
          <w:p w14:paraId="6B804C08">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（二）山与城-竞品成交数据跟踪</w:t>
            </w:r>
          </w:p>
        </w:tc>
      </w:tr>
      <w:tr w14:paraId="2A4EE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73" w:type="pct"/>
            <w:vMerge w:val="continue"/>
            <w:shd w:val="clear" w:color="auto" w:fill="auto"/>
            <w:vAlign w:val="center"/>
          </w:tcPr>
          <w:p w14:paraId="5551D955">
            <w:pPr>
              <w:widowControl/>
              <w:spacing w:line="320" w:lineRule="exact"/>
              <w:jc w:val="center"/>
              <w:rPr>
                <w:rFonts w:hint="eastAsia" w:ascii="黑体" w:hAnsi="宋体" w:eastAsia="黑体" w:cs="黑体"/>
                <w:color w:val="000000"/>
                <w:sz w:val="20"/>
                <w:szCs w:val="20"/>
              </w:rPr>
            </w:pPr>
          </w:p>
        </w:tc>
        <w:tc>
          <w:tcPr>
            <w:tcW w:w="376" w:type="pct"/>
            <w:vMerge w:val="continue"/>
            <w:shd w:val="clear" w:color="auto" w:fill="auto"/>
            <w:vAlign w:val="center"/>
          </w:tcPr>
          <w:p w14:paraId="4B3E648B">
            <w:pPr>
              <w:widowControl/>
              <w:spacing w:line="320" w:lineRule="exact"/>
              <w:jc w:val="center"/>
              <w:rPr>
                <w:rFonts w:hint="eastAsia" w:ascii="黑体" w:hAnsi="宋体" w:eastAsia="黑体" w:cs="黑体"/>
                <w:color w:val="000000"/>
                <w:sz w:val="20"/>
                <w:szCs w:val="20"/>
              </w:rPr>
            </w:pPr>
          </w:p>
        </w:tc>
        <w:tc>
          <w:tcPr>
            <w:tcW w:w="985" w:type="pct"/>
            <w:vMerge w:val="continue"/>
            <w:shd w:val="clear" w:color="auto" w:fill="auto"/>
            <w:vAlign w:val="center"/>
          </w:tcPr>
          <w:p w14:paraId="4B1F2365">
            <w:pPr>
              <w:widowControl/>
              <w:spacing w:line="320" w:lineRule="exact"/>
              <w:jc w:val="center"/>
              <w:rPr>
                <w:rFonts w:hint="eastAsia" w:ascii="黑体" w:hAnsi="宋体" w:eastAsia="黑体" w:cs="黑体"/>
                <w:color w:val="000000"/>
                <w:sz w:val="20"/>
                <w:szCs w:val="20"/>
              </w:rPr>
            </w:pPr>
          </w:p>
        </w:tc>
        <w:tc>
          <w:tcPr>
            <w:tcW w:w="3364" w:type="pct"/>
            <w:shd w:val="clear" w:color="auto" w:fill="auto"/>
            <w:vAlign w:val="center"/>
          </w:tcPr>
          <w:p w14:paraId="78F1C7B5">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（三）贯金和府-竞品成交数据跟踪</w:t>
            </w:r>
          </w:p>
        </w:tc>
      </w:tr>
      <w:tr w14:paraId="2067A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73" w:type="pct"/>
            <w:vMerge w:val="continue"/>
            <w:shd w:val="clear" w:color="auto" w:fill="auto"/>
            <w:vAlign w:val="center"/>
          </w:tcPr>
          <w:p w14:paraId="1EBA030C">
            <w:pPr>
              <w:widowControl/>
              <w:spacing w:line="320" w:lineRule="exact"/>
              <w:jc w:val="center"/>
              <w:rPr>
                <w:rFonts w:hint="eastAsia" w:ascii="黑体" w:hAnsi="宋体" w:eastAsia="黑体" w:cs="黑体"/>
                <w:color w:val="000000"/>
                <w:sz w:val="20"/>
                <w:szCs w:val="20"/>
              </w:rPr>
            </w:pPr>
          </w:p>
        </w:tc>
        <w:tc>
          <w:tcPr>
            <w:tcW w:w="376" w:type="pct"/>
            <w:vMerge w:val="continue"/>
            <w:shd w:val="clear" w:color="auto" w:fill="auto"/>
            <w:vAlign w:val="center"/>
          </w:tcPr>
          <w:p w14:paraId="01F1C2CF">
            <w:pPr>
              <w:widowControl/>
              <w:spacing w:line="320" w:lineRule="exact"/>
              <w:jc w:val="center"/>
              <w:rPr>
                <w:rFonts w:hint="eastAsia" w:ascii="黑体" w:hAnsi="宋体" w:eastAsia="黑体" w:cs="黑体"/>
                <w:color w:val="000000"/>
                <w:sz w:val="20"/>
                <w:szCs w:val="20"/>
              </w:rPr>
            </w:pPr>
          </w:p>
        </w:tc>
        <w:tc>
          <w:tcPr>
            <w:tcW w:w="985" w:type="pct"/>
            <w:vMerge w:val="continue"/>
            <w:shd w:val="clear" w:color="auto" w:fill="auto"/>
            <w:vAlign w:val="center"/>
          </w:tcPr>
          <w:p w14:paraId="3DA5079D">
            <w:pPr>
              <w:widowControl/>
              <w:spacing w:line="320" w:lineRule="exact"/>
              <w:jc w:val="center"/>
              <w:rPr>
                <w:rFonts w:hint="eastAsia" w:ascii="黑体" w:hAnsi="宋体" w:eastAsia="黑体" w:cs="黑体"/>
                <w:color w:val="000000"/>
                <w:sz w:val="20"/>
                <w:szCs w:val="20"/>
              </w:rPr>
            </w:pPr>
          </w:p>
        </w:tc>
        <w:tc>
          <w:tcPr>
            <w:tcW w:w="3364" w:type="pct"/>
            <w:shd w:val="clear" w:color="auto" w:fill="auto"/>
            <w:vAlign w:val="center"/>
          </w:tcPr>
          <w:p w14:paraId="191599A7">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（四）星河one/星河博棠-竞品成交数据跟踪</w:t>
            </w:r>
          </w:p>
        </w:tc>
      </w:tr>
      <w:tr w14:paraId="7D0AA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trPr>
        <w:tc>
          <w:tcPr>
            <w:tcW w:w="273" w:type="pct"/>
            <w:vMerge w:val="restart"/>
            <w:shd w:val="clear" w:color="auto" w:fill="auto"/>
            <w:vAlign w:val="center"/>
          </w:tcPr>
          <w:p w14:paraId="51ECEABB">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2</w:t>
            </w:r>
          </w:p>
        </w:tc>
        <w:tc>
          <w:tcPr>
            <w:tcW w:w="376" w:type="pct"/>
            <w:vMerge w:val="restart"/>
            <w:shd w:val="clear" w:color="auto" w:fill="auto"/>
            <w:vAlign w:val="center"/>
          </w:tcPr>
          <w:p w14:paraId="2BA86815">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月度</w:t>
            </w:r>
          </w:p>
        </w:tc>
        <w:tc>
          <w:tcPr>
            <w:tcW w:w="985" w:type="pct"/>
            <w:vMerge w:val="restart"/>
            <w:shd w:val="clear" w:color="auto" w:fill="auto"/>
            <w:vAlign w:val="center"/>
          </w:tcPr>
          <w:p w14:paraId="7A95C4EB">
            <w:pPr>
              <w:widowControl/>
              <w:spacing w:line="320" w:lineRule="exact"/>
              <w:jc w:val="center"/>
              <w:textAlignment w:val="center"/>
              <w:rPr>
                <w:rFonts w:hint="eastAsia"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普通月报</w:t>
            </w:r>
          </w:p>
          <w:p w14:paraId="49C83D67">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（5个）</w:t>
            </w:r>
          </w:p>
        </w:tc>
        <w:tc>
          <w:tcPr>
            <w:tcW w:w="3364" w:type="pct"/>
            <w:shd w:val="clear" w:color="auto" w:fill="auto"/>
            <w:vAlign w:val="center"/>
          </w:tcPr>
          <w:p w14:paraId="2376770A">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（一）《月度重庆房地产市场研究报告》（PPT）</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1、宏观环境</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2、房产市场</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3、土地市场</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4、开盘监测</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5、营销动态</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6、总结预判</w:t>
            </w:r>
          </w:p>
        </w:tc>
      </w:tr>
      <w:tr w14:paraId="7A289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trPr>
        <w:tc>
          <w:tcPr>
            <w:tcW w:w="273" w:type="pct"/>
            <w:vMerge w:val="continue"/>
            <w:shd w:val="clear" w:color="auto" w:fill="auto"/>
            <w:vAlign w:val="center"/>
          </w:tcPr>
          <w:p w14:paraId="2E4CF217">
            <w:pPr>
              <w:widowControl/>
              <w:spacing w:line="320" w:lineRule="exact"/>
              <w:jc w:val="center"/>
              <w:rPr>
                <w:rFonts w:hint="eastAsia" w:ascii="黑体" w:hAnsi="宋体" w:eastAsia="黑体" w:cs="黑体"/>
                <w:color w:val="000000"/>
                <w:sz w:val="20"/>
                <w:szCs w:val="20"/>
              </w:rPr>
            </w:pPr>
          </w:p>
        </w:tc>
        <w:tc>
          <w:tcPr>
            <w:tcW w:w="376" w:type="pct"/>
            <w:vMerge w:val="continue"/>
            <w:shd w:val="clear" w:color="auto" w:fill="auto"/>
            <w:vAlign w:val="center"/>
          </w:tcPr>
          <w:p w14:paraId="73CA4C61">
            <w:pPr>
              <w:widowControl/>
              <w:spacing w:line="320" w:lineRule="exact"/>
              <w:jc w:val="center"/>
              <w:rPr>
                <w:rFonts w:hint="eastAsia" w:ascii="黑体" w:hAnsi="宋体" w:eastAsia="黑体" w:cs="黑体"/>
                <w:color w:val="000000"/>
                <w:sz w:val="20"/>
                <w:szCs w:val="20"/>
              </w:rPr>
            </w:pPr>
          </w:p>
        </w:tc>
        <w:tc>
          <w:tcPr>
            <w:tcW w:w="985" w:type="pct"/>
            <w:vMerge w:val="continue"/>
            <w:shd w:val="clear" w:color="auto" w:fill="auto"/>
            <w:vAlign w:val="center"/>
          </w:tcPr>
          <w:p w14:paraId="3C2CDD5A">
            <w:pPr>
              <w:widowControl/>
              <w:spacing w:line="320" w:lineRule="exact"/>
              <w:jc w:val="center"/>
              <w:rPr>
                <w:rFonts w:hint="eastAsia" w:ascii="黑体" w:hAnsi="宋体" w:eastAsia="黑体" w:cs="黑体"/>
                <w:color w:val="000000"/>
                <w:sz w:val="20"/>
                <w:szCs w:val="20"/>
              </w:rPr>
            </w:pPr>
          </w:p>
        </w:tc>
        <w:tc>
          <w:tcPr>
            <w:tcW w:w="3364" w:type="pct"/>
            <w:shd w:val="clear" w:color="auto" w:fill="auto"/>
            <w:vAlign w:val="center"/>
          </w:tcPr>
          <w:p w14:paraId="1A86D2CA">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（二）《月度重庆市房地产市场汇总报告》（Word）</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1、市场综述</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2、最新政策法规</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3、地产资讯汇编</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4、土地供应成交分析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5、新开盘（加推）综述</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6、商品房供应成交分析</w:t>
            </w:r>
          </w:p>
        </w:tc>
      </w:tr>
      <w:tr w14:paraId="2D879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73" w:type="pct"/>
            <w:vMerge w:val="continue"/>
            <w:shd w:val="clear" w:color="auto" w:fill="auto"/>
            <w:vAlign w:val="center"/>
          </w:tcPr>
          <w:p w14:paraId="58162D16">
            <w:pPr>
              <w:widowControl/>
              <w:spacing w:line="320" w:lineRule="exact"/>
              <w:jc w:val="center"/>
              <w:rPr>
                <w:rFonts w:hint="eastAsia" w:ascii="黑体" w:hAnsi="宋体" w:eastAsia="黑体" w:cs="黑体"/>
                <w:color w:val="000000"/>
                <w:sz w:val="20"/>
                <w:szCs w:val="20"/>
              </w:rPr>
            </w:pPr>
          </w:p>
        </w:tc>
        <w:tc>
          <w:tcPr>
            <w:tcW w:w="376" w:type="pct"/>
            <w:vMerge w:val="continue"/>
            <w:shd w:val="clear" w:color="auto" w:fill="auto"/>
            <w:vAlign w:val="center"/>
          </w:tcPr>
          <w:p w14:paraId="58B1691B">
            <w:pPr>
              <w:widowControl/>
              <w:spacing w:line="320" w:lineRule="exact"/>
              <w:jc w:val="center"/>
              <w:rPr>
                <w:rFonts w:hint="eastAsia" w:ascii="黑体" w:hAnsi="宋体" w:eastAsia="黑体" w:cs="黑体"/>
                <w:color w:val="000000"/>
                <w:sz w:val="20"/>
                <w:szCs w:val="20"/>
              </w:rPr>
            </w:pPr>
          </w:p>
        </w:tc>
        <w:tc>
          <w:tcPr>
            <w:tcW w:w="985" w:type="pct"/>
            <w:vMerge w:val="continue"/>
            <w:shd w:val="clear" w:color="auto" w:fill="auto"/>
            <w:vAlign w:val="center"/>
          </w:tcPr>
          <w:p w14:paraId="30E53F31">
            <w:pPr>
              <w:widowControl/>
              <w:spacing w:line="320" w:lineRule="exact"/>
              <w:jc w:val="center"/>
              <w:rPr>
                <w:rFonts w:hint="eastAsia" w:ascii="黑体" w:hAnsi="宋体" w:eastAsia="黑体" w:cs="黑体"/>
                <w:color w:val="000000"/>
                <w:sz w:val="20"/>
                <w:szCs w:val="20"/>
              </w:rPr>
            </w:pPr>
          </w:p>
        </w:tc>
        <w:tc>
          <w:tcPr>
            <w:tcW w:w="3364" w:type="pct"/>
            <w:shd w:val="clear" w:color="auto" w:fill="auto"/>
            <w:vAlign w:val="center"/>
          </w:tcPr>
          <w:p w14:paraId="137FF28A">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（三）《月度土地市场报告》（PPT）</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1、年度趋势</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2、成交结构</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3、月度供应分析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4、月度成交分析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5、下月土拍预告</w:t>
            </w:r>
          </w:p>
        </w:tc>
      </w:tr>
      <w:tr w14:paraId="0C64F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trPr>
        <w:tc>
          <w:tcPr>
            <w:tcW w:w="273" w:type="pct"/>
            <w:vMerge w:val="continue"/>
            <w:shd w:val="clear" w:color="auto" w:fill="auto"/>
            <w:vAlign w:val="center"/>
          </w:tcPr>
          <w:p w14:paraId="563640CF">
            <w:pPr>
              <w:widowControl/>
              <w:spacing w:line="320" w:lineRule="exact"/>
              <w:jc w:val="center"/>
              <w:rPr>
                <w:rFonts w:hint="eastAsia" w:ascii="黑体" w:hAnsi="宋体" w:eastAsia="黑体" w:cs="黑体"/>
                <w:color w:val="000000"/>
                <w:sz w:val="20"/>
                <w:szCs w:val="20"/>
              </w:rPr>
            </w:pPr>
          </w:p>
        </w:tc>
        <w:tc>
          <w:tcPr>
            <w:tcW w:w="376" w:type="pct"/>
            <w:vMerge w:val="continue"/>
            <w:shd w:val="clear" w:color="auto" w:fill="auto"/>
            <w:vAlign w:val="center"/>
          </w:tcPr>
          <w:p w14:paraId="21505046">
            <w:pPr>
              <w:widowControl/>
              <w:spacing w:line="320" w:lineRule="exact"/>
              <w:jc w:val="center"/>
              <w:rPr>
                <w:rFonts w:hint="eastAsia" w:ascii="黑体" w:hAnsi="宋体" w:eastAsia="黑体" w:cs="黑体"/>
                <w:color w:val="000000"/>
                <w:sz w:val="20"/>
                <w:szCs w:val="20"/>
              </w:rPr>
            </w:pPr>
          </w:p>
        </w:tc>
        <w:tc>
          <w:tcPr>
            <w:tcW w:w="985" w:type="pct"/>
            <w:vMerge w:val="continue"/>
            <w:shd w:val="clear" w:color="auto" w:fill="auto"/>
            <w:vAlign w:val="center"/>
          </w:tcPr>
          <w:p w14:paraId="236BD1FD">
            <w:pPr>
              <w:widowControl/>
              <w:spacing w:line="320" w:lineRule="exact"/>
              <w:jc w:val="center"/>
              <w:rPr>
                <w:rFonts w:hint="eastAsia" w:ascii="黑体" w:hAnsi="宋体" w:eastAsia="黑体" w:cs="黑体"/>
                <w:color w:val="000000"/>
                <w:sz w:val="20"/>
                <w:szCs w:val="20"/>
              </w:rPr>
            </w:pPr>
          </w:p>
        </w:tc>
        <w:tc>
          <w:tcPr>
            <w:tcW w:w="3364" w:type="pct"/>
            <w:shd w:val="clear" w:color="auto" w:fill="auto"/>
            <w:vAlign w:val="center"/>
          </w:tcPr>
          <w:p w14:paraId="0C9F4281">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（四）《月度商品房市场供应成交结构分析报告》（PPT）</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1、月度商品房市场综述</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2、月度商品房市场供需分析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3、月度商品房市场成交结构分析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4、月度商品房市场区域分析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5、月度业态市场分析</w:t>
            </w:r>
          </w:p>
        </w:tc>
      </w:tr>
      <w:tr w14:paraId="533DC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273" w:type="pct"/>
            <w:vMerge w:val="continue"/>
            <w:shd w:val="clear" w:color="auto" w:fill="auto"/>
            <w:vAlign w:val="center"/>
          </w:tcPr>
          <w:p w14:paraId="08168B34">
            <w:pPr>
              <w:widowControl/>
              <w:spacing w:line="320" w:lineRule="exact"/>
              <w:jc w:val="center"/>
              <w:rPr>
                <w:rFonts w:hint="eastAsia" w:ascii="黑体" w:hAnsi="宋体" w:eastAsia="黑体" w:cs="黑体"/>
                <w:color w:val="000000"/>
                <w:sz w:val="20"/>
                <w:szCs w:val="20"/>
              </w:rPr>
            </w:pPr>
          </w:p>
        </w:tc>
        <w:tc>
          <w:tcPr>
            <w:tcW w:w="376" w:type="pct"/>
            <w:vMerge w:val="continue"/>
            <w:shd w:val="clear" w:color="auto" w:fill="auto"/>
            <w:vAlign w:val="center"/>
          </w:tcPr>
          <w:p w14:paraId="0185A4D6">
            <w:pPr>
              <w:widowControl/>
              <w:spacing w:line="320" w:lineRule="exact"/>
              <w:jc w:val="center"/>
              <w:rPr>
                <w:rFonts w:hint="eastAsia" w:ascii="黑体" w:hAnsi="宋体" w:eastAsia="黑体" w:cs="黑体"/>
                <w:color w:val="000000"/>
                <w:sz w:val="20"/>
                <w:szCs w:val="20"/>
              </w:rPr>
            </w:pPr>
          </w:p>
        </w:tc>
        <w:tc>
          <w:tcPr>
            <w:tcW w:w="985" w:type="pct"/>
            <w:vMerge w:val="continue"/>
            <w:shd w:val="clear" w:color="auto" w:fill="auto"/>
            <w:vAlign w:val="center"/>
          </w:tcPr>
          <w:p w14:paraId="17714BF4">
            <w:pPr>
              <w:widowControl/>
              <w:spacing w:line="320" w:lineRule="exact"/>
              <w:jc w:val="center"/>
              <w:rPr>
                <w:rFonts w:hint="eastAsia" w:ascii="黑体" w:hAnsi="宋体" w:eastAsia="黑体" w:cs="黑体"/>
                <w:color w:val="000000"/>
                <w:sz w:val="20"/>
                <w:szCs w:val="20"/>
              </w:rPr>
            </w:pPr>
          </w:p>
        </w:tc>
        <w:tc>
          <w:tcPr>
            <w:tcW w:w="3364" w:type="pct"/>
            <w:shd w:val="clear" w:color="auto" w:fill="auto"/>
            <w:vAlign w:val="center"/>
          </w:tcPr>
          <w:p w14:paraId="1B4BE509">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（五）《月度重庆城市及交通规划分析报告》（PPT）</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1、月度重庆城市及交通规划动态汇总</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2、月度规划、重大项目相关焦点资讯汇总</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3、本月主城区控制性规划详细调整信息汇总</w:t>
            </w:r>
          </w:p>
        </w:tc>
      </w:tr>
      <w:tr w14:paraId="5ECE2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73" w:type="pct"/>
            <w:vMerge w:val="continue"/>
            <w:shd w:val="clear" w:color="auto" w:fill="auto"/>
            <w:vAlign w:val="center"/>
          </w:tcPr>
          <w:p w14:paraId="0FD9B756">
            <w:pPr>
              <w:widowControl/>
              <w:spacing w:line="320" w:lineRule="exact"/>
              <w:jc w:val="center"/>
              <w:rPr>
                <w:rFonts w:hint="eastAsia" w:ascii="黑体" w:hAnsi="宋体" w:eastAsia="黑体" w:cs="黑体"/>
                <w:color w:val="000000"/>
                <w:sz w:val="20"/>
                <w:szCs w:val="20"/>
              </w:rPr>
            </w:pPr>
          </w:p>
        </w:tc>
        <w:tc>
          <w:tcPr>
            <w:tcW w:w="376" w:type="pct"/>
            <w:vMerge w:val="continue"/>
            <w:shd w:val="clear" w:color="auto" w:fill="auto"/>
            <w:vAlign w:val="center"/>
          </w:tcPr>
          <w:p w14:paraId="36D69878">
            <w:pPr>
              <w:widowControl/>
              <w:spacing w:line="320" w:lineRule="exact"/>
              <w:jc w:val="center"/>
              <w:rPr>
                <w:rFonts w:hint="eastAsia" w:ascii="黑体" w:hAnsi="宋体" w:eastAsia="黑体" w:cs="黑体"/>
                <w:color w:val="000000"/>
                <w:sz w:val="20"/>
                <w:szCs w:val="20"/>
              </w:rPr>
            </w:pPr>
          </w:p>
        </w:tc>
        <w:tc>
          <w:tcPr>
            <w:tcW w:w="985" w:type="pct"/>
            <w:shd w:val="clear" w:color="auto" w:fill="auto"/>
            <w:vAlign w:val="center"/>
          </w:tcPr>
          <w:p w14:paraId="769AF786">
            <w:pPr>
              <w:widowControl/>
              <w:spacing w:line="320" w:lineRule="exact"/>
              <w:jc w:val="center"/>
              <w:textAlignment w:val="center"/>
              <w:rPr>
                <w:rFonts w:hint="eastAsia"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专属月报</w:t>
            </w:r>
          </w:p>
          <w:p w14:paraId="0ACF6C95">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（1个）</w:t>
            </w:r>
          </w:p>
        </w:tc>
        <w:tc>
          <w:tcPr>
            <w:tcW w:w="3364" w:type="pct"/>
            <w:shd w:val="clear" w:color="auto" w:fill="auto"/>
            <w:vAlign w:val="center"/>
          </w:tcPr>
          <w:p w14:paraId="636821EB">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《渝开发-核心项目周边竞争格局分析》</w:t>
            </w:r>
          </w:p>
        </w:tc>
      </w:tr>
      <w:tr w14:paraId="3DE06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273" w:type="pct"/>
            <w:vMerge w:val="continue"/>
            <w:shd w:val="clear" w:color="auto" w:fill="auto"/>
            <w:vAlign w:val="center"/>
          </w:tcPr>
          <w:p w14:paraId="349B2904">
            <w:pPr>
              <w:widowControl/>
              <w:spacing w:line="320" w:lineRule="exact"/>
              <w:jc w:val="center"/>
              <w:rPr>
                <w:rFonts w:hint="eastAsia" w:ascii="黑体" w:hAnsi="宋体" w:eastAsia="黑体" w:cs="黑体"/>
                <w:color w:val="000000"/>
                <w:sz w:val="20"/>
                <w:szCs w:val="20"/>
              </w:rPr>
            </w:pPr>
          </w:p>
        </w:tc>
        <w:tc>
          <w:tcPr>
            <w:tcW w:w="376" w:type="pct"/>
            <w:vMerge w:val="continue"/>
            <w:shd w:val="clear" w:color="auto" w:fill="auto"/>
            <w:vAlign w:val="center"/>
          </w:tcPr>
          <w:p w14:paraId="51C01124">
            <w:pPr>
              <w:widowControl/>
              <w:spacing w:line="320" w:lineRule="exact"/>
              <w:jc w:val="center"/>
              <w:rPr>
                <w:rFonts w:hint="eastAsia" w:ascii="黑体" w:hAnsi="宋体" w:eastAsia="黑体" w:cs="黑体"/>
                <w:color w:val="000000"/>
                <w:sz w:val="20"/>
                <w:szCs w:val="20"/>
              </w:rPr>
            </w:pPr>
          </w:p>
        </w:tc>
        <w:tc>
          <w:tcPr>
            <w:tcW w:w="985" w:type="pct"/>
            <w:shd w:val="clear" w:color="auto" w:fill="auto"/>
            <w:vAlign w:val="center"/>
          </w:tcPr>
          <w:p w14:paraId="39316F71">
            <w:pPr>
              <w:widowControl/>
              <w:spacing w:line="320" w:lineRule="exact"/>
              <w:jc w:val="center"/>
              <w:textAlignment w:val="center"/>
              <w:rPr>
                <w:rFonts w:hint="eastAsia"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企业专属定制杂志</w:t>
            </w:r>
          </w:p>
          <w:p w14:paraId="21F6C211">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（9本）</w:t>
            </w:r>
          </w:p>
        </w:tc>
        <w:tc>
          <w:tcPr>
            <w:tcW w:w="3364" w:type="pct"/>
            <w:shd w:val="clear" w:color="auto" w:fill="auto"/>
            <w:vAlign w:val="center"/>
          </w:tcPr>
          <w:p w14:paraId="4C309E27">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《重庆市房地产市场动态月报》</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1、华岩、茶园、南山、蔡家、台商农业园区、西永六大板块市场分析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2、重庆中心城区房地产市场分析</w:t>
            </w:r>
          </w:p>
        </w:tc>
      </w:tr>
      <w:tr w14:paraId="3CA0F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9" w:hRule="atLeast"/>
        </w:trPr>
        <w:tc>
          <w:tcPr>
            <w:tcW w:w="273" w:type="pct"/>
            <w:shd w:val="clear" w:color="auto" w:fill="auto"/>
            <w:vAlign w:val="center"/>
          </w:tcPr>
          <w:p w14:paraId="01CCFDEC">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3</w:t>
            </w:r>
          </w:p>
        </w:tc>
        <w:tc>
          <w:tcPr>
            <w:tcW w:w="376" w:type="pct"/>
            <w:shd w:val="clear" w:color="auto" w:fill="auto"/>
            <w:vAlign w:val="center"/>
          </w:tcPr>
          <w:p w14:paraId="626A5D4A">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季度</w:t>
            </w:r>
          </w:p>
        </w:tc>
        <w:tc>
          <w:tcPr>
            <w:tcW w:w="985" w:type="pct"/>
            <w:shd w:val="clear" w:color="auto" w:fill="auto"/>
            <w:vAlign w:val="center"/>
          </w:tcPr>
          <w:p w14:paraId="22A50667">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专属季报</w:t>
            </w:r>
          </w:p>
        </w:tc>
        <w:tc>
          <w:tcPr>
            <w:tcW w:w="3364" w:type="pct"/>
            <w:shd w:val="clear" w:color="auto" w:fill="auto"/>
            <w:vAlign w:val="center"/>
          </w:tcPr>
          <w:p w14:paraId="2DF077A3">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《重庆市场分析及五大竞品板块分析报告》</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1、宏观政策、经济环境</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2、新房市场分析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3、二手房市场分析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4、土地市场分析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5、中心城区项目开盘监测</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7、五大竞品板块分析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8、趋势预测</w:t>
            </w:r>
          </w:p>
        </w:tc>
      </w:tr>
      <w:tr w14:paraId="3DB08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9" w:hRule="atLeast"/>
        </w:trPr>
        <w:tc>
          <w:tcPr>
            <w:tcW w:w="273" w:type="pct"/>
            <w:shd w:val="clear" w:color="auto" w:fill="auto"/>
            <w:vAlign w:val="center"/>
          </w:tcPr>
          <w:p w14:paraId="32E820DD">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4</w:t>
            </w:r>
          </w:p>
        </w:tc>
        <w:tc>
          <w:tcPr>
            <w:tcW w:w="376" w:type="pct"/>
            <w:shd w:val="clear" w:color="auto" w:fill="auto"/>
            <w:vAlign w:val="center"/>
          </w:tcPr>
          <w:p w14:paraId="448C3313">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年度</w:t>
            </w:r>
          </w:p>
        </w:tc>
        <w:tc>
          <w:tcPr>
            <w:tcW w:w="985" w:type="pct"/>
            <w:shd w:val="clear" w:color="auto" w:fill="auto"/>
            <w:vAlign w:val="center"/>
          </w:tcPr>
          <w:p w14:paraId="1664AE1A">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专属年报</w:t>
            </w:r>
          </w:p>
        </w:tc>
        <w:tc>
          <w:tcPr>
            <w:tcW w:w="3364" w:type="pct"/>
            <w:shd w:val="clear" w:color="auto" w:fill="auto"/>
            <w:vAlign w:val="center"/>
          </w:tcPr>
          <w:p w14:paraId="05A62B4A">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《重庆市场分析及五大竞品板块分析报告》</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1、宏观政策、经济环境</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2、新房市场分析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3、二手房市场分析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4、土地市场分析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5、中心城区项目开盘监测</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7、五大竞品板块分析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8、趋势预测</w:t>
            </w:r>
          </w:p>
        </w:tc>
      </w:tr>
      <w:tr w14:paraId="64F5B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73" w:type="pct"/>
            <w:vMerge w:val="restart"/>
            <w:shd w:val="clear" w:color="auto" w:fill="auto"/>
            <w:vAlign w:val="center"/>
          </w:tcPr>
          <w:p w14:paraId="73F92AEA">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5</w:t>
            </w:r>
          </w:p>
        </w:tc>
        <w:tc>
          <w:tcPr>
            <w:tcW w:w="376" w:type="pct"/>
            <w:vMerge w:val="restart"/>
            <w:shd w:val="clear" w:color="auto" w:fill="auto"/>
            <w:vAlign w:val="center"/>
          </w:tcPr>
          <w:p w14:paraId="39AC6EFF">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土地可研服务</w:t>
            </w:r>
          </w:p>
        </w:tc>
        <w:tc>
          <w:tcPr>
            <w:tcW w:w="985" w:type="pct"/>
            <w:shd w:val="clear" w:color="auto" w:fill="auto"/>
            <w:vAlign w:val="center"/>
          </w:tcPr>
          <w:p w14:paraId="140BC64C">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报告类</w:t>
            </w:r>
          </w:p>
        </w:tc>
        <w:tc>
          <w:tcPr>
            <w:tcW w:w="3364" w:type="pct"/>
            <w:shd w:val="clear" w:color="auto" w:fill="auto"/>
            <w:vAlign w:val="center"/>
          </w:tcPr>
          <w:p w14:paraId="167753E2">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《地块定位初判报告》每年5-10个</w:t>
            </w:r>
          </w:p>
        </w:tc>
      </w:tr>
      <w:tr w14:paraId="36132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73" w:type="pct"/>
            <w:vMerge w:val="continue"/>
            <w:shd w:val="clear" w:color="auto" w:fill="auto"/>
            <w:vAlign w:val="center"/>
          </w:tcPr>
          <w:p w14:paraId="77F8C162">
            <w:pPr>
              <w:widowControl/>
              <w:spacing w:line="320" w:lineRule="exact"/>
              <w:jc w:val="center"/>
              <w:rPr>
                <w:rFonts w:hint="eastAsia" w:ascii="黑体" w:hAnsi="宋体" w:eastAsia="黑体" w:cs="黑体"/>
                <w:color w:val="000000"/>
                <w:sz w:val="20"/>
                <w:szCs w:val="20"/>
              </w:rPr>
            </w:pPr>
          </w:p>
        </w:tc>
        <w:tc>
          <w:tcPr>
            <w:tcW w:w="376" w:type="pct"/>
            <w:vMerge w:val="continue"/>
            <w:shd w:val="clear" w:color="auto" w:fill="auto"/>
            <w:vAlign w:val="center"/>
          </w:tcPr>
          <w:p w14:paraId="4D995719">
            <w:pPr>
              <w:widowControl/>
              <w:spacing w:line="320" w:lineRule="exact"/>
              <w:jc w:val="center"/>
              <w:rPr>
                <w:rFonts w:hint="eastAsia" w:ascii="黑体" w:hAnsi="宋体" w:eastAsia="黑体" w:cs="黑体"/>
                <w:color w:val="000000"/>
                <w:sz w:val="20"/>
                <w:szCs w:val="20"/>
              </w:rPr>
            </w:pPr>
          </w:p>
        </w:tc>
        <w:tc>
          <w:tcPr>
            <w:tcW w:w="985" w:type="pct"/>
            <w:shd w:val="clear" w:color="auto" w:fill="auto"/>
            <w:vAlign w:val="center"/>
          </w:tcPr>
          <w:p w14:paraId="6970DF53">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配合服务</w:t>
            </w:r>
          </w:p>
        </w:tc>
        <w:tc>
          <w:tcPr>
            <w:tcW w:w="3364" w:type="pct"/>
            <w:shd w:val="clear" w:color="auto" w:fill="auto"/>
            <w:vAlign w:val="center"/>
          </w:tcPr>
          <w:p w14:paraId="2E109753">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1、根据比选人需求，提供重庆市主城区以外区域（含重庆区县及市外城市）满足可行性分析需求的土地、商品房市场数据咨询服务；</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2、针对比选人进入可研阶段的项目，提供满足比选人土地获取类项目可研报告模板深度要求的市场分析部分内容；</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3、数据类服务，应包含土地、商品房市场的各业态历年数据，历史变化趋势及未来一定时限内的变动预测，最好能按项目按需提供租赁市场数据；</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4、土地集中供地信息方面，应在正式公告前提供年度及每批次土地集中供地信息；</w:t>
            </w:r>
          </w:p>
        </w:tc>
      </w:tr>
      <w:tr w14:paraId="6C6A2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8" w:hRule="atLeast"/>
        </w:trPr>
        <w:tc>
          <w:tcPr>
            <w:tcW w:w="273" w:type="pct"/>
            <w:vMerge w:val="restart"/>
            <w:shd w:val="clear" w:color="auto" w:fill="auto"/>
            <w:vAlign w:val="center"/>
          </w:tcPr>
          <w:p w14:paraId="0F958162">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6</w:t>
            </w:r>
          </w:p>
        </w:tc>
        <w:tc>
          <w:tcPr>
            <w:tcW w:w="376" w:type="pct"/>
            <w:vMerge w:val="restart"/>
            <w:shd w:val="clear" w:color="auto" w:fill="auto"/>
            <w:vAlign w:val="center"/>
          </w:tcPr>
          <w:p w14:paraId="3FED3B70">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二手房、车库及商业市场服务</w:t>
            </w:r>
          </w:p>
        </w:tc>
        <w:tc>
          <w:tcPr>
            <w:tcW w:w="985" w:type="pct"/>
            <w:shd w:val="clear" w:color="auto" w:fill="auto"/>
            <w:vAlign w:val="center"/>
          </w:tcPr>
          <w:p w14:paraId="3B004B8C">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二手房</w:t>
            </w:r>
          </w:p>
        </w:tc>
        <w:tc>
          <w:tcPr>
            <w:tcW w:w="3364" w:type="pct"/>
            <w:shd w:val="clear" w:color="auto" w:fill="auto"/>
            <w:vAlign w:val="center"/>
          </w:tcPr>
          <w:p w14:paraId="2C548607">
            <w:pPr>
              <w:widowControl/>
              <w:numPr>
                <w:ilvl w:val="0"/>
                <w:numId w:val="4"/>
              </w:numPr>
              <w:spacing w:line="320" w:lineRule="exact"/>
              <w:jc w:val="left"/>
              <w:textAlignment w:val="center"/>
              <w:rPr>
                <w:rFonts w:hint="eastAsia"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重庆市中心城区二手房市场查询及报告撰写服务（可根据需求服务）</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1、市场供应及存量规模分析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3、存量</w:t>
            </w:r>
          </w:p>
          <w:p w14:paraId="3A902839">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2、月度存量可售规模分析结构分析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4、市场成交分析市场特征分析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a.市场供应：新增房源和新增客源比例和数量分析、新增挂牌价格及客户预期分析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b.市场成交：套均面积和套均总价趋势分析、溢价空间分析、客户成交周期分析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c.带看情况分析：带看客源量走势</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d.客户画像：年龄层面客户占比、客户所属区域占比</w:t>
            </w:r>
          </w:p>
        </w:tc>
      </w:tr>
      <w:tr w14:paraId="6E3D0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trPr>
        <w:tc>
          <w:tcPr>
            <w:tcW w:w="273" w:type="pct"/>
            <w:vMerge w:val="continue"/>
            <w:shd w:val="clear" w:color="auto" w:fill="auto"/>
            <w:vAlign w:val="center"/>
          </w:tcPr>
          <w:p w14:paraId="1AFC9178">
            <w:pPr>
              <w:widowControl/>
              <w:spacing w:line="320" w:lineRule="exact"/>
              <w:jc w:val="center"/>
              <w:rPr>
                <w:rFonts w:hint="eastAsia" w:ascii="黑体" w:hAnsi="宋体" w:eastAsia="黑体" w:cs="黑体"/>
                <w:color w:val="000000"/>
                <w:sz w:val="20"/>
                <w:szCs w:val="20"/>
              </w:rPr>
            </w:pPr>
          </w:p>
        </w:tc>
        <w:tc>
          <w:tcPr>
            <w:tcW w:w="376" w:type="pct"/>
            <w:vMerge w:val="continue"/>
            <w:shd w:val="clear" w:color="auto" w:fill="auto"/>
            <w:vAlign w:val="center"/>
          </w:tcPr>
          <w:p w14:paraId="6378F3C6">
            <w:pPr>
              <w:widowControl/>
              <w:spacing w:line="320" w:lineRule="exact"/>
              <w:jc w:val="center"/>
              <w:rPr>
                <w:rFonts w:hint="eastAsia" w:ascii="黑体" w:hAnsi="宋体" w:eastAsia="黑体" w:cs="黑体"/>
                <w:color w:val="000000"/>
                <w:sz w:val="20"/>
                <w:szCs w:val="20"/>
              </w:rPr>
            </w:pPr>
          </w:p>
        </w:tc>
        <w:tc>
          <w:tcPr>
            <w:tcW w:w="985" w:type="pct"/>
            <w:shd w:val="clear" w:color="auto" w:fill="auto"/>
            <w:vAlign w:val="center"/>
          </w:tcPr>
          <w:p w14:paraId="03B8BBDF">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车库及商业市场</w:t>
            </w:r>
          </w:p>
        </w:tc>
        <w:tc>
          <w:tcPr>
            <w:tcW w:w="3364" w:type="pct"/>
            <w:shd w:val="clear" w:color="auto" w:fill="auto"/>
            <w:vAlign w:val="center"/>
          </w:tcPr>
          <w:p w14:paraId="2DFE1935">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（二）重庆市中心城区车库及商业市场数据查询及报告撰写服务（可根据需求服务）</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(1)市场供应及成交规模分析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(2)月度存量可售规模分析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(3)存量结构分析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(4)指定项目供求分析</w:t>
            </w:r>
          </w:p>
        </w:tc>
      </w:tr>
      <w:tr w14:paraId="1C088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73" w:type="pct"/>
            <w:shd w:val="clear" w:color="auto" w:fill="auto"/>
            <w:vAlign w:val="center"/>
          </w:tcPr>
          <w:p w14:paraId="43958AB5">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7</w:t>
            </w:r>
          </w:p>
        </w:tc>
        <w:tc>
          <w:tcPr>
            <w:tcW w:w="376" w:type="pct"/>
            <w:shd w:val="clear" w:color="auto" w:fill="auto"/>
            <w:vAlign w:val="center"/>
          </w:tcPr>
          <w:p w14:paraId="6374448D">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重庆区县</w:t>
            </w:r>
          </w:p>
        </w:tc>
        <w:tc>
          <w:tcPr>
            <w:tcW w:w="985" w:type="pct"/>
            <w:shd w:val="clear" w:color="auto" w:fill="auto"/>
            <w:vAlign w:val="center"/>
          </w:tcPr>
          <w:p w14:paraId="7A6994A2">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新房数据</w:t>
            </w:r>
          </w:p>
        </w:tc>
        <w:tc>
          <w:tcPr>
            <w:tcW w:w="3364" w:type="pct"/>
            <w:shd w:val="clear" w:color="auto" w:fill="auto"/>
            <w:vAlign w:val="center"/>
          </w:tcPr>
          <w:p w14:paraId="53649241">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重庆各区县新房数据，涵盖月度成交数据、业态成交数据、项目成交数据</w:t>
            </w:r>
          </w:p>
        </w:tc>
      </w:tr>
      <w:tr w14:paraId="45249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73" w:type="pct"/>
            <w:shd w:val="clear" w:color="auto" w:fill="auto"/>
            <w:vAlign w:val="center"/>
          </w:tcPr>
          <w:p w14:paraId="11F9CFB9">
            <w:pPr>
              <w:widowControl/>
              <w:spacing w:line="320" w:lineRule="exact"/>
              <w:jc w:val="center"/>
              <w:textAlignment w:val="center"/>
              <w:rPr>
                <w:rFonts w:hint="eastAsia"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8</w:t>
            </w:r>
          </w:p>
        </w:tc>
        <w:tc>
          <w:tcPr>
            <w:tcW w:w="376" w:type="pct"/>
            <w:shd w:val="clear" w:color="auto" w:fill="auto"/>
            <w:vAlign w:val="center"/>
          </w:tcPr>
          <w:p w14:paraId="1435BD54">
            <w:pPr>
              <w:widowControl/>
              <w:spacing w:line="320" w:lineRule="exact"/>
              <w:jc w:val="left"/>
              <w:textAlignment w:val="center"/>
              <w:rPr>
                <w:rFonts w:hint="eastAsia"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其他城市数据</w:t>
            </w:r>
          </w:p>
        </w:tc>
        <w:tc>
          <w:tcPr>
            <w:tcW w:w="985" w:type="pct"/>
            <w:shd w:val="clear" w:color="auto" w:fill="auto"/>
            <w:vAlign w:val="center"/>
          </w:tcPr>
          <w:p w14:paraId="54A4A37B">
            <w:pPr>
              <w:widowControl/>
              <w:spacing w:line="320" w:lineRule="exact"/>
              <w:jc w:val="left"/>
              <w:textAlignment w:val="center"/>
              <w:rPr>
                <w:rFonts w:hint="eastAsia"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市场资料</w:t>
            </w:r>
          </w:p>
        </w:tc>
        <w:tc>
          <w:tcPr>
            <w:tcW w:w="3364" w:type="pct"/>
            <w:shd w:val="clear" w:color="auto" w:fill="auto"/>
            <w:vAlign w:val="center"/>
          </w:tcPr>
          <w:p w14:paraId="2E187321">
            <w:pPr>
              <w:widowControl/>
              <w:spacing w:line="320" w:lineRule="exact"/>
              <w:jc w:val="left"/>
              <w:textAlignment w:val="center"/>
              <w:rPr>
                <w:rFonts w:hint="eastAsia"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对甲方有数据、市场资料需求的其他城市，进行资料收集的深度配合</w:t>
            </w:r>
          </w:p>
        </w:tc>
      </w:tr>
      <w:tr w14:paraId="4CA96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73" w:type="pct"/>
            <w:vMerge w:val="restart"/>
            <w:shd w:val="clear" w:color="auto" w:fill="auto"/>
            <w:vAlign w:val="center"/>
          </w:tcPr>
          <w:p w14:paraId="1BFD1595">
            <w:pPr>
              <w:widowControl/>
              <w:spacing w:line="320" w:lineRule="exact"/>
              <w:jc w:val="center"/>
              <w:textAlignment w:val="center"/>
              <w:rPr>
                <w:rFonts w:hint="eastAsia"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9</w:t>
            </w:r>
          </w:p>
        </w:tc>
        <w:tc>
          <w:tcPr>
            <w:tcW w:w="376" w:type="pct"/>
            <w:vMerge w:val="restart"/>
            <w:shd w:val="clear" w:color="auto" w:fill="auto"/>
            <w:vAlign w:val="center"/>
          </w:tcPr>
          <w:p w14:paraId="18733432">
            <w:pPr>
              <w:widowControl/>
              <w:spacing w:line="320" w:lineRule="exact"/>
              <w:jc w:val="center"/>
              <w:textAlignment w:val="center"/>
              <w:rPr>
                <w:rFonts w:hint="eastAsia"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咨询服务</w:t>
            </w:r>
          </w:p>
        </w:tc>
        <w:tc>
          <w:tcPr>
            <w:tcW w:w="985" w:type="pct"/>
            <w:shd w:val="clear" w:color="auto" w:fill="auto"/>
            <w:vAlign w:val="center"/>
          </w:tcPr>
          <w:p w14:paraId="7A425E5D">
            <w:pPr>
              <w:widowControl/>
              <w:spacing w:line="320" w:lineRule="exact"/>
              <w:jc w:val="left"/>
              <w:textAlignment w:val="center"/>
              <w:rPr>
                <w:rFonts w:hint="eastAsia"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主力在售项目（4个）</w:t>
            </w:r>
          </w:p>
        </w:tc>
        <w:tc>
          <w:tcPr>
            <w:tcW w:w="3364" w:type="pct"/>
            <w:shd w:val="clear" w:color="auto" w:fill="auto"/>
            <w:vAlign w:val="center"/>
          </w:tcPr>
          <w:p w14:paraId="421D1EB9">
            <w:pPr>
              <w:widowControl/>
              <w:spacing w:line="320" w:lineRule="exact"/>
              <w:jc w:val="left"/>
              <w:textAlignment w:val="center"/>
              <w:rPr>
                <w:rFonts w:hint="eastAsia"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每周每个项目（南樾天宸、山与城、贯金和府、星河one）3-5次提问服务，内容包括但不限于各项目所在区域的商品房市场监测、竞争项目成交情况、竞争项目营销动作监控、竞争项目推售节奏</w:t>
            </w:r>
          </w:p>
        </w:tc>
      </w:tr>
      <w:tr w14:paraId="16CDF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273" w:type="pct"/>
            <w:vMerge w:val="continue"/>
            <w:shd w:val="clear" w:color="auto" w:fill="auto"/>
            <w:vAlign w:val="center"/>
          </w:tcPr>
          <w:p w14:paraId="23E369AF">
            <w:pPr>
              <w:widowControl/>
              <w:spacing w:line="320" w:lineRule="exact"/>
              <w:jc w:val="left"/>
              <w:textAlignment w:val="center"/>
              <w:rPr>
                <w:rFonts w:hint="eastAsia" w:ascii="黑体" w:hAnsi="宋体" w:eastAsia="黑体" w:cs="黑体"/>
                <w:color w:val="000000"/>
                <w:kern w:val="0"/>
                <w:sz w:val="20"/>
                <w:szCs w:val="20"/>
                <w:lang w:bidi="ar"/>
              </w:rPr>
            </w:pPr>
          </w:p>
        </w:tc>
        <w:tc>
          <w:tcPr>
            <w:tcW w:w="376" w:type="pct"/>
            <w:vMerge w:val="continue"/>
            <w:shd w:val="clear" w:color="auto" w:fill="auto"/>
            <w:vAlign w:val="center"/>
          </w:tcPr>
          <w:p w14:paraId="7E5A9346">
            <w:pPr>
              <w:widowControl/>
              <w:spacing w:line="320" w:lineRule="exact"/>
              <w:jc w:val="left"/>
              <w:textAlignment w:val="center"/>
              <w:rPr>
                <w:rFonts w:hint="eastAsia" w:ascii="黑体" w:hAnsi="宋体" w:eastAsia="黑体" w:cs="黑体"/>
                <w:color w:val="000000"/>
                <w:kern w:val="0"/>
                <w:sz w:val="20"/>
                <w:szCs w:val="20"/>
                <w:lang w:bidi="ar"/>
              </w:rPr>
            </w:pPr>
          </w:p>
        </w:tc>
        <w:tc>
          <w:tcPr>
            <w:tcW w:w="985" w:type="pct"/>
            <w:shd w:val="clear" w:color="auto" w:fill="auto"/>
            <w:vAlign w:val="center"/>
          </w:tcPr>
          <w:p w14:paraId="4DC1CC49">
            <w:pPr>
              <w:widowControl/>
              <w:spacing w:line="320" w:lineRule="exact"/>
              <w:jc w:val="left"/>
              <w:textAlignment w:val="center"/>
              <w:rPr>
                <w:rFonts w:hint="eastAsia"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渝开发公司其他部门</w:t>
            </w:r>
          </w:p>
        </w:tc>
        <w:tc>
          <w:tcPr>
            <w:tcW w:w="3364" w:type="pct"/>
            <w:shd w:val="clear" w:color="auto" w:fill="auto"/>
            <w:vAlign w:val="center"/>
          </w:tcPr>
          <w:p w14:paraId="1310018E">
            <w:pPr>
              <w:widowControl/>
              <w:spacing w:line="320" w:lineRule="exact"/>
              <w:jc w:val="left"/>
              <w:textAlignment w:val="center"/>
              <w:rPr>
                <w:rFonts w:hint="eastAsia"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市场数据咨询服务（按渝开发公司需求提供服务）</w:t>
            </w:r>
          </w:p>
        </w:tc>
      </w:tr>
      <w:tr w14:paraId="20981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73" w:type="pct"/>
            <w:vMerge w:val="restart"/>
            <w:shd w:val="clear" w:color="auto" w:fill="auto"/>
            <w:vAlign w:val="center"/>
          </w:tcPr>
          <w:p w14:paraId="3182C64F">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10</w:t>
            </w:r>
          </w:p>
        </w:tc>
        <w:tc>
          <w:tcPr>
            <w:tcW w:w="376" w:type="pct"/>
            <w:vMerge w:val="restart"/>
            <w:shd w:val="clear" w:color="auto" w:fill="auto"/>
            <w:vAlign w:val="center"/>
          </w:tcPr>
          <w:p w14:paraId="75683117">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数据库系统</w:t>
            </w:r>
          </w:p>
        </w:tc>
        <w:tc>
          <w:tcPr>
            <w:tcW w:w="985" w:type="pct"/>
            <w:vMerge w:val="restart"/>
            <w:shd w:val="clear" w:color="auto" w:fill="auto"/>
            <w:vAlign w:val="center"/>
          </w:tcPr>
          <w:p w14:paraId="12965248">
            <w:pPr>
              <w:widowControl/>
              <w:spacing w:line="320" w:lineRule="exact"/>
              <w:textAlignment w:val="center"/>
              <w:rPr>
                <w:rFonts w:hint="eastAsia"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数据库</w:t>
            </w:r>
          </w:p>
          <w:p w14:paraId="0AA4EACE">
            <w:pPr>
              <w:widowControl/>
              <w:spacing w:line="320" w:lineRule="exac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5个账号</w:t>
            </w:r>
          </w:p>
        </w:tc>
        <w:tc>
          <w:tcPr>
            <w:tcW w:w="3364" w:type="pct"/>
            <w:shd w:val="clear" w:color="auto" w:fill="auto"/>
            <w:vAlign w:val="center"/>
          </w:tcPr>
          <w:p w14:paraId="648F3B66">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（一）土地市场供应成交数据查询</w:t>
            </w:r>
          </w:p>
        </w:tc>
      </w:tr>
      <w:tr w14:paraId="66340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73" w:type="pct"/>
            <w:vMerge w:val="continue"/>
            <w:shd w:val="clear" w:color="auto" w:fill="auto"/>
            <w:vAlign w:val="center"/>
          </w:tcPr>
          <w:p w14:paraId="66AAF921">
            <w:pPr>
              <w:widowControl/>
              <w:spacing w:line="320" w:lineRule="exact"/>
              <w:jc w:val="center"/>
              <w:rPr>
                <w:rFonts w:hint="eastAsia" w:ascii="黑体" w:hAnsi="宋体" w:eastAsia="黑体" w:cs="黑体"/>
                <w:color w:val="000000"/>
                <w:sz w:val="20"/>
                <w:szCs w:val="20"/>
              </w:rPr>
            </w:pPr>
          </w:p>
        </w:tc>
        <w:tc>
          <w:tcPr>
            <w:tcW w:w="376" w:type="pct"/>
            <w:vMerge w:val="continue"/>
            <w:shd w:val="clear" w:color="auto" w:fill="auto"/>
            <w:vAlign w:val="center"/>
          </w:tcPr>
          <w:p w14:paraId="11827BF5">
            <w:pPr>
              <w:widowControl/>
              <w:spacing w:line="320" w:lineRule="exact"/>
              <w:jc w:val="center"/>
              <w:rPr>
                <w:rFonts w:hint="eastAsia" w:ascii="黑体" w:hAnsi="宋体" w:eastAsia="黑体" w:cs="黑体"/>
                <w:color w:val="000000"/>
                <w:sz w:val="20"/>
                <w:szCs w:val="20"/>
              </w:rPr>
            </w:pPr>
          </w:p>
        </w:tc>
        <w:tc>
          <w:tcPr>
            <w:tcW w:w="985" w:type="pct"/>
            <w:vMerge w:val="continue"/>
            <w:shd w:val="clear" w:color="auto" w:fill="auto"/>
            <w:vAlign w:val="center"/>
          </w:tcPr>
          <w:p w14:paraId="1132ECA4">
            <w:pPr>
              <w:widowControl/>
              <w:spacing w:line="320" w:lineRule="exact"/>
              <w:jc w:val="center"/>
              <w:rPr>
                <w:rFonts w:hint="eastAsia" w:ascii="黑体" w:hAnsi="宋体" w:eastAsia="黑体" w:cs="黑体"/>
                <w:color w:val="000000"/>
                <w:sz w:val="20"/>
                <w:szCs w:val="20"/>
              </w:rPr>
            </w:pPr>
          </w:p>
        </w:tc>
        <w:tc>
          <w:tcPr>
            <w:tcW w:w="3364" w:type="pct"/>
            <w:shd w:val="clear" w:color="auto" w:fill="auto"/>
            <w:vAlign w:val="center"/>
          </w:tcPr>
          <w:p w14:paraId="4DCA6BA2">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（二）商品房市场供应成交库存数据查询</w:t>
            </w:r>
          </w:p>
        </w:tc>
      </w:tr>
      <w:tr w14:paraId="219E9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73" w:type="pct"/>
            <w:vMerge w:val="continue"/>
            <w:shd w:val="clear" w:color="auto" w:fill="auto"/>
            <w:vAlign w:val="center"/>
          </w:tcPr>
          <w:p w14:paraId="2FC6151D">
            <w:pPr>
              <w:widowControl/>
              <w:spacing w:line="320" w:lineRule="exact"/>
              <w:jc w:val="center"/>
              <w:rPr>
                <w:rFonts w:hint="eastAsia" w:ascii="黑体" w:hAnsi="宋体" w:eastAsia="黑体" w:cs="黑体"/>
                <w:color w:val="000000"/>
                <w:sz w:val="20"/>
                <w:szCs w:val="20"/>
              </w:rPr>
            </w:pPr>
          </w:p>
        </w:tc>
        <w:tc>
          <w:tcPr>
            <w:tcW w:w="376" w:type="pct"/>
            <w:vMerge w:val="continue"/>
            <w:shd w:val="clear" w:color="auto" w:fill="auto"/>
            <w:vAlign w:val="center"/>
          </w:tcPr>
          <w:p w14:paraId="1B13C92D">
            <w:pPr>
              <w:widowControl/>
              <w:spacing w:line="320" w:lineRule="exact"/>
              <w:jc w:val="center"/>
              <w:rPr>
                <w:rFonts w:hint="eastAsia" w:ascii="黑体" w:hAnsi="宋体" w:eastAsia="黑体" w:cs="黑体"/>
                <w:color w:val="000000"/>
                <w:sz w:val="20"/>
                <w:szCs w:val="20"/>
              </w:rPr>
            </w:pPr>
          </w:p>
        </w:tc>
        <w:tc>
          <w:tcPr>
            <w:tcW w:w="985" w:type="pct"/>
            <w:vMerge w:val="continue"/>
            <w:shd w:val="clear" w:color="auto" w:fill="auto"/>
            <w:vAlign w:val="center"/>
          </w:tcPr>
          <w:p w14:paraId="31CE4DD0">
            <w:pPr>
              <w:widowControl/>
              <w:spacing w:line="320" w:lineRule="exact"/>
              <w:jc w:val="center"/>
              <w:rPr>
                <w:rFonts w:hint="eastAsia" w:ascii="黑体" w:hAnsi="宋体" w:eastAsia="黑体" w:cs="黑体"/>
                <w:color w:val="000000"/>
                <w:sz w:val="20"/>
                <w:szCs w:val="20"/>
              </w:rPr>
            </w:pPr>
          </w:p>
        </w:tc>
        <w:tc>
          <w:tcPr>
            <w:tcW w:w="3364" w:type="pct"/>
            <w:shd w:val="clear" w:color="auto" w:fill="auto"/>
            <w:vAlign w:val="center"/>
          </w:tcPr>
          <w:p w14:paraId="237BA931">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（三）二手房市场数据查询</w:t>
            </w:r>
          </w:p>
        </w:tc>
      </w:tr>
    </w:tbl>
    <w:p w14:paraId="493469BA">
      <w:pPr>
        <w:ind w:firstLine="281" w:firstLineChars="100"/>
        <w:rPr>
          <w:rFonts w:hint="eastAsia" w:ascii="宋体" w:hAnsi="宋体" w:cs="宋体"/>
          <w:b/>
          <w:sz w:val="28"/>
          <w:szCs w:val="28"/>
        </w:rPr>
      </w:pPr>
    </w:p>
    <w:p w14:paraId="438FC51E">
      <w:pPr>
        <w:adjustRightInd w:val="0"/>
        <w:snapToGrid w:val="0"/>
        <w:spacing w:line="360" w:lineRule="auto"/>
        <w:jc w:val="left"/>
        <w:rPr>
          <w:rFonts w:hint="eastAsia" w:ascii="宋体" w:hAnsi="宋体" w:cs="宋体"/>
          <w:sz w:val="28"/>
          <w:szCs w:val="28"/>
        </w:rPr>
      </w:pPr>
      <w:r>
        <w:rPr>
          <w:rFonts w:hint="eastAsia" w:ascii="宋体" w:hAnsi="宋体" w:cs="宋体"/>
          <w:sz w:val="28"/>
          <w:szCs w:val="28"/>
        </w:rPr>
        <w:t>备注：本附件需加盖单位公章。</w:t>
      </w:r>
    </w:p>
    <w:p w14:paraId="66D0664A">
      <w:pPr>
        <w:widowControl/>
        <w:spacing w:line="360" w:lineRule="auto"/>
        <w:rPr>
          <w:rFonts w:hint="eastAsia" w:ascii="宋体" w:hAnsi="宋体" w:cs="宋体"/>
          <w:b/>
          <w:sz w:val="28"/>
          <w:szCs w:val="28"/>
        </w:rPr>
      </w:pPr>
    </w:p>
    <w:p w14:paraId="210BFA4A">
      <w:pPr>
        <w:widowControl/>
        <w:spacing w:line="360" w:lineRule="auto"/>
        <w:rPr>
          <w:rFonts w:hint="eastAsia" w:ascii="宋体" w:hAnsi="宋体" w:cs="宋体"/>
          <w:b/>
          <w:sz w:val="28"/>
          <w:szCs w:val="28"/>
        </w:rPr>
      </w:pPr>
    </w:p>
    <w:p w14:paraId="4DC49CA6">
      <w:pPr>
        <w:widowControl/>
        <w:spacing w:line="360" w:lineRule="auto"/>
        <w:ind w:firstLine="5320" w:firstLineChars="1900"/>
        <w:rPr>
          <w:rFonts w:hint="eastAsia" w:ascii="宋体" w:hAnsi="宋体" w:cs="宋体"/>
          <w:b/>
          <w:kern w:val="0"/>
          <w:sz w:val="24"/>
        </w:rPr>
      </w:pPr>
      <w:r>
        <w:rPr>
          <w:rFonts w:hint="eastAsia" w:ascii="宋体" w:hAnsi="宋体" w:cs="宋体"/>
          <w:sz w:val="28"/>
          <w:szCs w:val="28"/>
        </w:rPr>
        <w:t>参选人（盖公章）：</w:t>
      </w:r>
    </w:p>
    <w:p w14:paraId="05F6E8F1">
      <w:pPr>
        <w:adjustRightInd w:val="0"/>
        <w:snapToGrid w:val="0"/>
        <w:spacing w:line="360" w:lineRule="auto"/>
        <w:jc w:val="center"/>
        <w:rPr>
          <w:rFonts w:hint="eastAsia" w:ascii="宋体" w:hAnsi="宋体" w:cs="宋体"/>
          <w:sz w:val="28"/>
          <w:szCs w:val="28"/>
        </w:rPr>
      </w:pPr>
      <w:r>
        <w:rPr>
          <w:rFonts w:hint="eastAsia" w:ascii="宋体" w:hAnsi="宋体" w:cs="宋体"/>
          <w:sz w:val="28"/>
          <w:szCs w:val="28"/>
        </w:rPr>
        <w:t xml:space="preserve">                             法定代表人（签字或盖章）：</w:t>
      </w:r>
    </w:p>
    <w:p w14:paraId="60A125E6">
      <w:pPr>
        <w:ind w:firstLine="281" w:firstLineChars="100"/>
        <w:rPr>
          <w:rFonts w:hint="eastAsia" w:ascii="宋体" w:hAnsi="宋体" w:cs="宋体"/>
          <w:b/>
          <w:sz w:val="28"/>
          <w:szCs w:val="28"/>
        </w:rPr>
      </w:pPr>
    </w:p>
    <w:p w14:paraId="6286BF72">
      <w:pPr>
        <w:pStyle w:val="3"/>
        <w:ind w:firstLine="0" w:firstLineChars="0"/>
        <w:rPr>
          <w:rFonts w:hint="eastAsia" w:ascii="宋体" w:hAnsi="宋体" w:cs="宋体"/>
          <w:b/>
          <w:sz w:val="28"/>
          <w:szCs w:val="28"/>
        </w:rPr>
      </w:pPr>
    </w:p>
    <w:p w14:paraId="0C5E9595">
      <w:pPr>
        <w:pStyle w:val="3"/>
        <w:ind w:firstLine="0" w:firstLineChars="0"/>
        <w:rPr>
          <w:rFonts w:hint="eastAsia" w:ascii="宋体" w:hAnsi="宋体" w:eastAsia="宋体" w:cs="宋体"/>
          <w:sz w:val="28"/>
          <w:szCs w:val="28"/>
          <w:lang w:val="en-US" w:eastAsia="zh-CN"/>
        </w:rPr>
      </w:pPr>
      <w:r>
        <w:rPr>
          <w:rFonts w:hint="eastAsia" w:ascii="宋体" w:hAnsi="宋体" w:cs="宋体"/>
          <w:b/>
          <w:sz w:val="28"/>
          <w:szCs w:val="28"/>
        </w:rPr>
        <w:t>附件</w:t>
      </w:r>
      <w:r>
        <w:rPr>
          <w:rFonts w:hint="eastAsia" w:ascii="宋体" w:hAnsi="宋体" w:cs="宋体"/>
          <w:b/>
          <w:sz w:val="28"/>
          <w:szCs w:val="28"/>
          <w:lang w:val="en-US" w:eastAsia="zh-CN"/>
        </w:rPr>
        <w:t>3</w:t>
      </w:r>
    </w:p>
    <w:p w14:paraId="38D29374">
      <w:pPr>
        <w:pStyle w:val="3"/>
        <w:ind w:firstLine="560"/>
        <w:rPr>
          <w:rFonts w:hint="eastAsia" w:ascii="宋体" w:hAnsi="宋体" w:cs="宋体"/>
          <w:sz w:val="28"/>
          <w:szCs w:val="28"/>
        </w:rPr>
      </w:pPr>
    </w:p>
    <w:p w14:paraId="3E2FD3CB">
      <w:pPr>
        <w:pStyle w:val="2"/>
        <w:numPr>
          <w:ilvl w:val="0"/>
          <w:numId w:val="0"/>
        </w:numPr>
        <w:adjustRightInd w:val="0"/>
        <w:snapToGrid w:val="0"/>
        <w:spacing w:before="0" w:after="0"/>
        <w:rPr>
          <w:rFonts w:hint="eastAsia" w:ascii="宋体" w:hAnsi="宋体" w:cs="宋体"/>
          <w:sz w:val="36"/>
          <w:szCs w:val="36"/>
        </w:rPr>
      </w:pPr>
      <w:r>
        <w:rPr>
          <w:rFonts w:hint="eastAsia" w:ascii="宋体" w:hAnsi="宋体" w:cs="宋体"/>
          <w:sz w:val="36"/>
          <w:szCs w:val="36"/>
        </w:rPr>
        <w:t>授权委托书</w:t>
      </w:r>
    </w:p>
    <w:p w14:paraId="59FBBA24">
      <w:pPr>
        <w:adjustRightInd w:val="0"/>
        <w:snapToGrid w:val="0"/>
        <w:spacing w:line="360" w:lineRule="auto"/>
        <w:ind w:firstLine="560" w:firstLineChars="200"/>
        <w:rPr>
          <w:rFonts w:hint="eastAsia" w:ascii="宋体" w:hAnsi="宋体" w:cs="宋体"/>
          <w:sz w:val="28"/>
          <w:szCs w:val="28"/>
        </w:rPr>
      </w:pPr>
    </w:p>
    <w:p w14:paraId="7242CD9C">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本人</w:t>
      </w:r>
      <w:r>
        <w:rPr>
          <w:rFonts w:hint="eastAsia" w:ascii="宋体" w:hAnsi="宋体" w:cs="宋体"/>
          <w:sz w:val="28"/>
          <w:szCs w:val="28"/>
          <w:u w:val="single"/>
        </w:rPr>
        <w:t xml:space="preserve">      </w:t>
      </w:r>
      <w:r>
        <w:rPr>
          <w:rFonts w:hint="eastAsia" w:ascii="宋体" w:hAnsi="宋体" w:cs="宋体"/>
          <w:sz w:val="28"/>
          <w:szCs w:val="28"/>
        </w:rPr>
        <w:t>（姓名）系</w:t>
      </w:r>
      <w:r>
        <w:rPr>
          <w:rFonts w:hint="eastAsia" w:ascii="宋体" w:hAnsi="宋体" w:cs="宋体"/>
          <w:sz w:val="28"/>
          <w:szCs w:val="28"/>
          <w:u w:val="single"/>
        </w:rPr>
        <w:t xml:space="preserve">                              </w:t>
      </w:r>
      <w:r>
        <w:rPr>
          <w:rFonts w:hint="eastAsia" w:ascii="宋体" w:hAnsi="宋体" w:cs="宋体"/>
          <w:sz w:val="28"/>
          <w:szCs w:val="28"/>
        </w:rPr>
        <w:t>（投标单位名称）的法定代表人，现委托</w:t>
      </w:r>
      <w:r>
        <w:rPr>
          <w:rFonts w:hint="eastAsia" w:ascii="宋体" w:hAnsi="宋体" w:cs="宋体"/>
          <w:sz w:val="28"/>
          <w:szCs w:val="28"/>
          <w:u w:val="single"/>
        </w:rPr>
        <w:t xml:space="preserve">      </w:t>
      </w:r>
      <w:r>
        <w:rPr>
          <w:rFonts w:hint="eastAsia" w:ascii="宋体" w:hAnsi="宋体" w:cs="宋体"/>
          <w:sz w:val="28"/>
          <w:szCs w:val="28"/>
        </w:rPr>
        <w:t>（姓名）为我方代理人。代理人根据授权，以我方名义签署、澄清、说明、递交</w:t>
      </w:r>
      <w:r>
        <w:rPr>
          <w:rFonts w:hint="eastAsia" w:ascii="宋体" w:hAnsi="宋体" w:cs="宋体"/>
          <w:bCs/>
          <w:sz w:val="28"/>
          <w:szCs w:val="28"/>
          <w:u w:val="single"/>
        </w:rPr>
        <w:t>渝开发</w:t>
      </w:r>
      <w:r>
        <w:rPr>
          <w:rFonts w:hint="eastAsia" w:ascii="宋体" w:hAnsi="宋体" w:cs="宋体"/>
          <w:sz w:val="28"/>
          <w:szCs w:val="28"/>
          <w:u w:val="single"/>
        </w:rPr>
        <w:t>2024年年度市场监测咨询服务合作</w:t>
      </w:r>
      <w:r>
        <w:rPr>
          <w:rFonts w:ascii="宋体" w:hAnsi="宋体" w:cs="宋体"/>
          <w:sz w:val="28"/>
          <w:szCs w:val="28"/>
          <w:u w:val="single"/>
        </w:rPr>
        <w:t>单位</w:t>
      </w:r>
      <w:r>
        <w:rPr>
          <w:rFonts w:hint="eastAsia" w:ascii="宋体" w:hAnsi="宋体" w:cs="宋体"/>
          <w:sz w:val="28"/>
          <w:szCs w:val="28"/>
          <w:u w:val="single"/>
        </w:rPr>
        <w:t>竞争性比选文件</w:t>
      </w:r>
      <w:r>
        <w:rPr>
          <w:rFonts w:hint="eastAsia" w:ascii="宋体" w:hAnsi="宋体" w:cs="宋体"/>
          <w:sz w:val="28"/>
          <w:szCs w:val="28"/>
        </w:rPr>
        <w:t>、签订合同和处理有关事宜，其法律后果由我方承担。</w:t>
      </w:r>
    </w:p>
    <w:p w14:paraId="5D5F35C3">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委托期限：</w:t>
      </w:r>
      <w:r>
        <w:rPr>
          <w:rFonts w:hint="eastAsia" w:ascii="宋体" w:hAnsi="宋体" w:cs="宋体"/>
          <w:sz w:val="28"/>
          <w:szCs w:val="28"/>
          <w:u w:val="single"/>
        </w:rPr>
        <w:t xml:space="preserve">                                </w:t>
      </w:r>
    </w:p>
    <w:p w14:paraId="4DC29B86">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代理人无转委托权。</w:t>
      </w:r>
    </w:p>
    <w:p w14:paraId="0D27FA94">
      <w:pPr>
        <w:adjustRightInd w:val="0"/>
        <w:snapToGrid w:val="0"/>
        <w:spacing w:line="360" w:lineRule="auto"/>
        <w:rPr>
          <w:rFonts w:hint="eastAsia" w:ascii="宋体" w:hAnsi="宋体" w:cs="宋体"/>
          <w:sz w:val="28"/>
          <w:szCs w:val="28"/>
        </w:rPr>
      </w:pPr>
      <w:r>
        <w:rPr>
          <w:rFonts w:hint="eastAsia" w:ascii="宋体" w:hAnsi="宋体" w:cs="宋体"/>
          <w:sz w:val="28"/>
          <w:szCs w:val="28"/>
        </w:rPr>
        <w:t>竞选人：</w:t>
      </w:r>
      <w:r>
        <w:rPr>
          <w:rFonts w:hint="eastAsia" w:ascii="宋体" w:hAnsi="宋体" w:cs="宋体"/>
          <w:sz w:val="28"/>
          <w:szCs w:val="28"/>
          <w:u w:val="single"/>
        </w:rPr>
        <w:t xml:space="preserve">                          </w:t>
      </w:r>
      <w:r>
        <w:rPr>
          <w:rFonts w:hint="eastAsia" w:ascii="宋体" w:hAnsi="宋体" w:cs="宋体"/>
          <w:sz w:val="28"/>
          <w:szCs w:val="28"/>
        </w:rPr>
        <w:t>（盖法人公章）</w:t>
      </w:r>
    </w:p>
    <w:p w14:paraId="613AB9C7">
      <w:pPr>
        <w:adjustRightInd w:val="0"/>
        <w:snapToGrid w:val="0"/>
        <w:spacing w:line="360" w:lineRule="auto"/>
        <w:rPr>
          <w:rFonts w:hint="eastAsia" w:ascii="宋体" w:hAnsi="宋体" w:cs="宋体"/>
          <w:sz w:val="28"/>
          <w:szCs w:val="28"/>
        </w:rPr>
      </w:pPr>
      <w:r>
        <w:rPr>
          <w:rFonts w:hint="eastAsia" w:ascii="宋体" w:hAnsi="宋体" w:cs="宋体"/>
          <w:sz w:val="28"/>
          <w:szCs w:val="28"/>
        </w:rPr>
        <w:t>法定代表人：</w:t>
      </w:r>
      <w:r>
        <w:rPr>
          <w:rFonts w:hint="eastAsia" w:ascii="宋体" w:hAnsi="宋体" w:cs="宋体"/>
          <w:sz w:val="28"/>
          <w:szCs w:val="28"/>
          <w:u w:val="single"/>
        </w:rPr>
        <w:t xml:space="preserve">                     </w:t>
      </w:r>
      <w:r>
        <w:rPr>
          <w:rFonts w:hint="eastAsia" w:ascii="宋体" w:hAnsi="宋体" w:cs="宋体"/>
          <w:sz w:val="28"/>
          <w:szCs w:val="28"/>
        </w:rPr>
        <w:t>（签字）</w:t>
      </w:r>
    </w:p>
    <w:p w14:paraId="3833F55F">
      <w:pPr>
        <w:adjustRightInd w:val="0"/>
        <w:snapToGrid w:val="0"/>
        <w:spacing w:line="360" w:lineRule="auto"/>
        <w:rPr>
          <w:rFonts w:hint="eastAsia" w:ascii="宋体" w:hAnsi="宋体" w:cs="宋体"/>
          <w:sz w:val="28"/>
          <w:szCs w:val="28"/>
        </w:rPr>
      </w:pPr>
      <w:r>
        <w:rPr>
          <w:rFonts w:hint="eastAsia" w:ascii="宋体" w:hAnsi="宋体" w:cs="宋体"/>
          <w:sz w:val="28"/>
          <w:szCs w:val="28"/>
        </w:rPr>
        <w:t>身份证号码：</w:t>
      </w:r>
      <w:r>
        <w:rPr>
          <w:rFonts w:hint="eastAsia" w:ascii="宋体" w:hAnsi="宋体" w:cs="宋体"/>
          <w:sz w:val="28"/>
          <w:szCs w:val="28"/>
          <w:u w:val="single"/>
        </w:rPr>
        <w:t xml:space="preserve">                       </w:t>
      </w:r>
      <w:r>
        <w:rPr>
          <w:rFonts w:hint="eastAsia" w:ascii="宋体" w:hAnsi="宋体" w:cs="宋体"/>
          <w:sz w:val="28"/>
          <w:szCs w:val="28"/>
        </w:rPr>
        <w:t>（签字）</w:t>
      </w:r>
    </w:p>
    <w:p w14:paraId="1C19F58B">
      <w:pPr>
        <w:adjustRightInd w:val="0"/>
        <w:snapToGrid w:val="0"/>
        <w:spacing w:line="360" w:lineRule="auto"/>
        <w:rPr>
          <w:rFonts w:hint="eastAsia" w:ascii="宋体" w:hAnsi="宋体" w:cs="宋体"/>
          <w:sz w:val="28"/>
          <w:szCs w:val="28"/>
        </w:rPr>
      </w:pPr>
      <w:r>
        <w:rPr>
          <w:rFonts w:hint="eastAsia" w:ascii="宋体" w:hAnsi="宋体" w:cs="宋体"/>
          <w:sz w:val="28"/>
          <w:szCs w:val="28"/>
        </w:rPr>
        <w:t>委托代理人：</w:t>
      </w:r>
      <w:r>
        <w:rPr>
          <w:rFonts w:hint="eastAsia" w:ascii="宋体" w:hAnsi="宋体" w:cs="宋体"/>
          <w:sz w:val="28"/>
          <w:szCs w:val="28"/>
          <w:u w:val="single"/>
        </w:rPr>
        <w:t xml:space="preserve">                      </w:t>
      </w:r>
      <w:r>
        <w:rPr>
          <w:rFonts w:hint="eastAsia" w:ascii="宋体" w:hAnsi="宋体" w:cs="宋体"/>
          <w:sz w:val="28"/>
          <w:szCs w:val="28"/>
        </w:rPr>
        <w:t>（签字）</w:t>
      </w:r>
    </w:p>
    <w:p w14:paraId="399EBFCC">
      <w:pPr>
        <w:adjustRightInd w:val="0"/>
        <w:snapToGrid w:val="0"/>
        <w:spacing w:line="360" w:lineRule="auto"/>
        <w:rPr>
          <w:rFonts w:hint="eastAsia" w:ascii="宋体" w:hAnsi="宋体" w:cs="宋体"/>
          <w:sz w:val="28"/>
          <w:szCs w:val="28"/>
        </w:rPr>
      </w:pPr>
      <w:r>
        <w:rPr>
          <w:rFonts w:hint="eastAsia" w:ascii="宋体" w:hAnsi="宋体" w:cs="宋体"/>
          <w:sz w:val="28"/>
          <w:szCs w:val="28"/>
        </w:rPr>
        <w:t>身份证号码：</w:t>
      </w:r>
      <w:r>
        <w:rPr>
          <w:rFonts w:hint="eastAsia" w:ascii="宋体" w:hAnsi="宋体" w:cs="宋体"/>
          <w:sz w:val="28"/>
          <w:szCs w:val="28"/>
          <w:u w:val="single"/>
        </w:rPr>
        <w:t xml:space="preserve">                           </w:t>
      </w:r>
      <w:r>
        <w:rPr>
          <w:rFonts w:hint="eastAsia" w:ascii="宋体" w:hAnsi="宋体" w:cs="宋体"/>
          <w:sz w:val="28"/>
          <w:szCs w:val="28"/>
        </w:rPr>
        <w:t>（签字）</w:t>
      </w:r>
    </w:p>
    <w:p w14:paraId="4A98448A">
      <w:pPr>
        <w:adjustRightInd w:val="0"/>
        <w:snapToGrid w:val="0"/>
        <w:spacing w:line="360" w:lineRule="auto"/>
        <w:ind w:firstLine="4340" w:firstLineChars="1550"/>
        <w:rPr>
          <w:rFonts w:hint="eastAsia"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tbl>
      <w:tblPr>
        <w:tblStyle w:val="12"/>
        <w:tblW w:w="0" w:type="auto"/>
        <w:tblInd w:w="6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5"/>
        <w:gridCol w:w="435"/>
        <w:gridCol w:w="4365"/>
      </w:tblGrid>
      <w:tr w14:paraId="0714D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9" w:hRule="atLeast"/>
        </w:trPr>
        <w:tc>
          <w:tcPr>
            <w:tcW w:w="4395" w:type="dxa"/>
          </w:tcPr>
          <w:p w14:paraId="5A7E2507">
            <w:pPr>
              <w:adjustRightInd w:val="0"/>
              <w:snapToGrid w:val="0"/>
              <w:spacing w:line="360" w:lineRule="auto"/>
              <w:rPr>
                <w:rFonts w:hint="eastAsia" w:ascii="宋体" w:hAnsi="宋体" w:cs="宋体"/>
                <w:b/>
                <w:bCs/>
                <w:sz w:val="28"/>
                <w:szCs w:val="28"/>
              </w:rPr>
            </w:pPr>
          </w:p>
          <w:p w14:paraId="7A877461">
            <w:pPr>
              <w:adjustRightInd w:val="0"/>
              <w:snapToGrid w:val="0"/>
              <w:spacing w:line="360" w:lineRule="auto"/>
              <w:rPr>
                <w:rFonts w:hint="eastAsia" w:ascii="宋体" w:hAnsi="宋体" w:cs="宋体"/>
                <w:b/>
                <w:bCs/>
                <w:sz w:val="28"/>
                <w:szCs w:val="28"/>
              </w:rPr>
            </w:pPr>
          </w:p>
          <w:p w14:paraId="7BDCFFC5">
            <w:pPr>
              <w:adjustRightInd w:val="0"/>
              <w:snapToGrid w:val="0"/>
              <w:spacing w:line="360" w:lineRule="auto"/>
              <w:rPr>
                <w:rFonts w:hint="eastAsia" w:ascii="宋体" w:hAnsi="宋体" w:cs="宋体"/>
                <w:bCs/>
                <w:sz w:val="28"/>
                <w:szCs w:val="28"/>
              </w:rPr>
            </w:pPr>
            <w:r>
              <w:rPr>
                <w:rFonts w:hint="eastAsia" w:ascii="宋体" w:hAnsi="宋体" w:cs="宋体"/>
                <w:bCs/>
                <w:sz w:val="28"/>
                <w:szCs w:val="28"/>
              </w:rPr>
              <w:t>（</w:t>
            </w:r>
            <w:r>
              <w:rPr>
                <w:rFonts w:hint="eastAsia" w:ascii="宋体" w:hAnsi="宋体" w:cs="宋体"/>
                <w:sz w:val="28"/>
                <w:szCs w:val="28"/>
              </w:rPr>
              <w:t>委托代理人身份证</w:t>
            </w:r>
            <w:r>
              <w:rPr>
                <w:rFonts w:hint="eastAsia" w:ascii="宋体" w:hAnsi="宋体" w:cs="宋体"/>
                <w:bCs/>
                <w:sz w:val="28"/>
                <w:szCs w:val="28"/>
              </w:rPr>
              <w:t>复印件正面）</w:t>
            </w:r>
          </w:p>
          <w:p w14:paraId="1EFE8C0B">
            <w:pPr>
              <w:adjustRightInd w:val="0"/>
              <w:snapToGrid w:val="0"/>
              <w:spacing w:line="360" w:lineRule="auto"/>
              <w:rPr>
                <w:rFonts w:hint="eastAsia" w:ascii="宋体" w:hAnsi="宋体" w:cs="宋体"/>
                <w:sz w:val="28"/>
                <w:szCs w:val="28"/>
              </w:rPr>
            </w:pPr>
          </w:p>
        </w:tc>
        <w:tc>
          <w:tcPr>
            <w:tcW w:w="435" w:type="dxa"/>
            <w:tcBorders>
              <w:top w:val="nil"/>
              <w:bottom w:val="nil"/>
            </w:tcBorders>
          </w:tcPr>
          <w:p w14:paraId="1D4E670E">
            <w:pPr>
              <w:widowControl/>
              <w:adjustRightInd w:val="0"/>
              <w:snapToGrid w:val="0"/>
              <w:spacing w:line="360" w:lineRule="auto"/>
              <w:jc w:val="left"/>
              <w:rPr>
                <w:rFonts w:hint="eastAsia" w:ascii="宋体" w:hAnsi="宋体" w:cs="宋体"/>
                <w:sz w:val="28"/>
                <w:szCs w:val="28"/>
              </w:rPr>
            </w:pPr>
            <w:r>
              <w:rPr>
                <w:rFonts w:hint="eastAsia" w:ascii="宋体" w:hAnsi="宋体" w:cs="宋体"/>
                <w:sz w:val="28"/>
                <w:szCs w:val="28"/>
              </w:rPr>
              <w:t xml:space="preserve">   </w:t>
            </w:r>
          </w:p>
        </w:tc>
        <w:tc>
          <w:tcPr>
            <w:tcW w:w="4365" w:type="dxa"/>
          </w:tcPr>
          <w:p w14:paraId="4C9255C0">
            <w:pPr>
              <w:adjustRightInd w:val="0"/>
              <w:snapToGrid w:val="0"/>
              <w:spacing w:line="360" w:lineRule="auto"/>
              <w:rPr>
                <w:rFonts w:hint="eastAsia" w:ascii="宋体" w:hAnsi="宋体" w:cs="宋体"/>
                <w:sz w:val="28"/>
                <w:szCs w:val="28"/>
              </w:rPr>
            </w:pPr>
          </w:p>
          <w:p w14:paraId="19BFEE67">
            <w:pPr>
              <w:adjustRightInd w:val="0"/>
              <w:snapToGrid w:val="0"/>
              <w:spacing w:line="360" w:lineRule="auto"/>
              <w:rPr>
                <w:rFonts w:hint="eastAsia" w:ascii="宋体" w:hAnsi="宋体" w:cs="宋体"/>
                <w:sz w:val="28"/>
                <w:szCs w:val="28"/>
              </w:rPr>
            </w:pPr>
          </w:p>
          <w:p w14:paraId="3759F402">
            <w:pPr>
              <w:tabs>
                <w:tab w:val="left" w:pos="735"/>
              </w:tabs>
              <w:adjustRightInd w:val="0"/>
              <w:snapToGrid w:val="0"/>
              <w:spacing w:line="360" w:lineRule="auto"/>
              <w:rPr>
                <w:rFonts w:hint="eastAsia" w:ascii="宋体" w:hAnsi="宋体" w:cs="宋体"/>
                <w:sz w:val="28"/>
                <w:szCs w:val="28"/>
              </w:rPr>
            </w:pPr>
            <w:r>
              <w:rPr>
                <w:rFonts w:hint="eastAsia" w:ascii="宋体" w:hAnsi="宋体" w:cs="宋体"/>
                <w:sz w:val="28"/>
                <w:szCs w:val="28"/>
              </w:rPr>
              <w:t>（委托代理人身份证</w:t>
            </w:r>
            <w:r>
              <w:rPr>
                <w:rFonts w:hint="eastAsia" w:ascii="宋体" w:hAnsi="宋体" w:cs="宋体"/>
                <w:bCs/>
                <w:sz w:val="28"/>
                <w:szCs w:val="28"/>
              </w:rPr>
              <w:t>复印件背面</w:t>
            </w:r>
            <w:r>
              <w:rPr>
                <w:rFonts w:hint="eastAsia" w:ascii="宋体" w:hAnsi="宋体" w:cs="宋体"/>
                <w:sz w:val="28"/>
                <w:szCs w:val="28"/>
              </w:rPr>
              <w:t>）</w:t>
            </w:r>
          </w:p>
        </w:tc>
      </w:tr>
    </w:tbl>
    <w:p w14:paraId="7D91AC1E">
      <w:pPr>
        <w:adjustRightInd w:val="0"/>
        <w:snapToGrid w:val="0"/>
        <w:spacing w:line="360" w:lineRule="auto"/>
        <w:rPr>
          <w:rFonts w:hint="eastAsia" w:ascii="宋体" w:hAnsi="宋体" w:eastAsia="宋体" w:cs="宋体"/>
          <w:b/>
          <w:sz w:val="28"/>
          <w:szCs w:val="28"/>
          <w:lang w:val="en-US" w:eastAsia="zh-CN"/>
        </w:rPr>
      </w:pPr>
      <w:r>
        <w:rPr>
          <w:rFonts w:hint="eastAsia" w:ascii="宋体" w:hAnsi="宋体" w:cs="宋体"/>
          <w:b/>
          <w:sz w:val="28"/>
          <w:szCs w:val="28"/>
        </w:rPr>
        <w:br w:type="page"/>
      </w:r>
      <w:r>
        <w:rPr>
          <w:rFonts w:hint="eastAsia" w:ascii="宋体" w:hAnsi="宋体" w:cs="宋体"/>
          <w:b/>
          <w:sz w:val="28"/>
          <w:szCs w:val="28"/>
        </w:rPr>
        <w:t>附件</w:t>
      </w:r>
      <w:r>
        <w:rPr>
          <w:rFonts w:hint="eastAsia" w:ascii="宋体" w:hAnsi="宋体" w:cs="宋体"/>
          <w:b/>
          <w:sz w:val="28"/>
          <w:szCs w:val="28"/>
          <w:lang w:val="en-US" w:eastAsia="zh-CN"/>
        </w:rPr>
        <w:t>4</w:t>
      </w:r>
    </w:p>
    <w:p w14:paraId="779142D9">
      <w:pPr>
        <w:pStyle w:val="2"/>
        <w:numPr>
          <w:ilvl w:val="0"/>
          <w:numId w:val="0"/>
        </w:numPr>
        <w:adjustRightInd w:val="0"/>
        <w:snapToGrid w:val="0"/>
        <w:spacing w:before="0" w:after="0"/>
        <w:rPr>
          <w:rFonts w:hint="eastAsia" w:ascii="宋体" w:hAnsi="宋体" w:cs="宋体"/>
          <w:sz w:val="36"/>
          <w:szCs w:val="36"/>
        </w:rPr>
      </w:pPr>
      <w:r>
        <w:rPr>
          <w:rFonts w:hint="eastAsia" w:ascii="宋体" w:hAnsi="宋体" w:cs="宋体"/>
          <w:sz w:val="36"/>
          <w:szCs w:val="36"/>
        </w:rPr>
        <w:t>法定代表人身份证明书</w:t>
      </w:r>
    </w:p>
    <w:p w14:paraId="7BF95084">
      <w:pPr>
        <w:adjustRightInd w:val="0"/>
        <w:snapToGrid w:val="0"/>
        <w:spacing w:line="360" w:lineRule="auto"/>
        <w:ind w:firstLine="560" w:firstLineChars="200"/>
        <w:rPr>
          <w:rFonts w:hint="eastAsia" w:ascii="宋体" w:hAnsi="宋体" w:cs="宋体"/>
          <w:sz w:val="28"/>
          <w:szCs w:val="28"/>
        </w:rPr>
      </w:pPr>
    </w:p>
    <w:p w14:paraId="0E598D05">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竞选人名称：</w:t>
      </w:r>
      <w:r>
        <w:rPr>
          <w:rFonts w:hint="eastAsia" w:ascii="宋体" w:hAnsi="宋体" w:cs="宋体"/>
          <w:sz w:val="28"/>
          <w:szCs w:val="28"/>
          <w:u w:val="single"/>
        </w:rPr>
        <w:t xml:space="preserve">                                     </w:t>
      </w:r>
      <w:r>
        <w:rPr>
          <w:rFonts w:hint="eastAsia" w:ascii="宋体" w:hAnsi="宋体" w:cs="宋体"/>
          <w:sz w:val="28"/>
          <w:szCs w:val="28"/>
        </w:rPr>
        <w:t xml:space="preserve"> </w:t>
      </w:r>
    </w:p>
    <w:p w14:paraId="7006BF66">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单 位 性质：</w:t>
      </w:r>
      <w:r>
        <w:rPr>
          <w:rFonts w:hint="eastAsia" w:ascii="宋体" w:hAnsi="宋体" w:cs="宋体"/>
          <w:sz w:val="28"/>
          <w:szCs w:val="28"/>
          <w:u w:val="single"/>
        </w:rPr>
        <w:t xml:space="preserve">                                     </w:t>
      </w:r>
      <w:r>
        <w:rPr>
          <w:rFonts w:hint="eastAsia" w:ascii="宋体" w:hAnsi="宋体" w:cs="宋体"/>
          <w:sz w:val="28"/>
          <w:szCs w:val="28"/>
        </w:rPr>
        <w:t xml:space="preserve"> </w:t>
      </w:r>
    </w:p>
    <w:p w14:paraId="6A99CB7A">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地      址：</w:t>
      </w:r>
      <w:r>
        <w:rPr>
          <w:rFonts w:hint="eastAsia" w:ascii="宋体" w:hAnsi="宋体" w:cs="宋体"/>
          <w:sz w:val="28"/>
          <w:szCs w:val="28"/>
          <w:u w:val="single"/>
        </w:rPr>
        <w:t xml:space="preserve">                                     </w:t>
      </w:r>
      <w:r>
        <w:rPr>
          <w:rFonts w:hint="eastAsia" w:ascii="宋体" w:hAnsi="宋体" w:cs="宋体"/>
          <w:sz w:val="28"/>
          <w:szCs w:val="28"/>
        </w:rPr>
        <w:t xml:space="preserve"> </w:t>
      </w:r>
    </w:p>
    <w:p w14:paraId="09DBC150">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成 立 时间：</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 xml:space="preserve"> 日</w:t>
      </w:r>
    </w:p>
    <w:p w14:paraId="0C8FB7D1">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经 营 期限：</w:t>
      </w:r>
      <w:r>
        <w:rPr>
          <w:rFonts w:hint="eastAsia" w:ascii="宋体" w:hAnsi="宋体" w:cs="宋体"/>
          <w:sz w:val="28"/>
          <w:szCs w:val="28"/>
          <w:u w:val="single"/>
        </w:rPr>
        <w:t xml:space="preserve">                                </w:t>
      </w:r>
      <w:r>
        <w:rPr>
          <w:rFonts w:hint="eastAsia" w:ascii="宋体" w:hAnsi="宋体" w:cs="宋体"/>
          <w:sz w:val="28"/>
          <w:szCs w:val="28"/>
        </w:rPr>
        <w:t xml:space="preserve"> </w:t>
      </w:r>
    </w:p>
    <w:p w14:paraId="6693AFB7">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姓  名：</w:t>
      </w:r>
      <w:r>
        <w:rPr>
          <w:rFonts w:hint="eastAsia" w:ascii="宋体" w:hAnsi="宋体" w:cs="宋体"/>
          <w:sz w:val="28"/>
          <w:szCs w:val="28"/>
          <w:u w:val="single"/>
        </w:rPr>
        <w:t xml:space="preserve">           </w:t>
      </w:r>
      <w:r>
        <w:rPr>
          <w:rFonts w:hint="eastAsia" w:ascii="宋体" w:hAnsi="宋体" w:cs="宋体"/>
          <w:sz w:val="28"/>
          <w:szCs w:val="28"/>
        </w:rPr>
        <w:t>性别：</w:t>
      </w:r>
      <w:r>
        <w:rPr>
          <w:rFonts w:hint="eastAsia" w:ascii="宋体" w:hAnsi="宋体" w:cs="宋体"/>
          <w:sz w:val="28"/>
          <w:szCs w:val="28"/>
          <w:u w:val="single"/>
        </w:rPr>
        <w:t xml:space="preserve">        </w:t>
      </w:r>
      <w:r>
        <w:rPr>
          <w:rFonts w:hint="eastAsia" w:ascii="宋体" w:hAnsi="宋体" w:cs="宋体"/>
          <w:sz w:val="28"/>
          <w:szCs w:val="28"/>
        </w:rPr>
        <w:t>年龄：</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p>
    <w:p w14:paraId="69E4289D">
      <w:pPr>
        <w:adjustRightInd w:val="0"/>
        <w:snapToGrid w:val="0"/>
        <w:spacing w:line="360" w:lineRule="auto"/>
        <w:ind w:left="359" w:leftChars="171" w:firstLine="140" w:firstLineChars="50"/>
        <w:rPr>
          <w:rFonts w:hint="eastAsia" w:ascii="宋体" w:hAnsi="宋体" w:cs="宋体"/>
          <w:sz w:val="28"/>
          <w:szCs w:val="28"/>
        </w:rPr>
      </w:pPr>
      <w:r>
        <w:rPr>
          <w:rFonts w:hint="eastAsia" w:ascii="宋体" w:hAnsi="宋体" w:cs="宋体"/>
          <w:sz w:val="28"/>
          <w:szCs w:val="28"/>
        </w:rPr>
        <w:t>系</w:t>
      </w:r>
      <w:r>
        <w:rPr>
          <w:rFonts w:hint="eastAsia" w:ascii="宋体" w:hAnsi="宋体" w:cs="宋体"/>
          <w:sz w:val="28"/>
          <w:szCs w:val="28"/>
          <w:u w:val="single"/>
        </w:rPr>
        <w:t xml:space="preserve">                                  </w:t>
      </w:r>
      <w:r>
        <w:rPr>
          <w:rFonts w:hint="eastAsia" w:ascii="宋体" w:hAnsi="宋体" w:cs="宋体"/>
          <w:sz w:val="28"/>
          <w:szCs w:val="28"/>
        </w:rPr>
        <w:t>（竞选人名称）的法定代表人。</w:t>
      </w:r>
    </w:p>
    <w:p w14:paraId="4F4D6A5F">
      <w:pPr>
        <w:adjustRightInd w:val="0"/>
        <w:snapToGrid w:val="0"/>
        <w:spacing w:line="360" w:lineRule="auto"/>
        <w:ind w:firstLine="1120" w:firstLineChars="400"/>
        <w:rPr>
          <w:rFonts w:hint="eastAsia" w:ascii="宋体" w:hAnsi="宋体" w:cs="宋体"/>
          <w:sz w:val="28"/>
          <w:szCs w:val="28"/>
        </w:rPr>
      </w:pPr>
      <w:r>
        <w:rPr>
          <w:rFonts w:hint="eastAsia" w:ascii="宋体" w:hAnsi="宋体" w:cs="宋体"/>
          <w:sz w:val="28"/>
          <w:szCs w:val="28"/>
        </w:rPr>
        <w:t>特此证明。</w:t>
      </w:r>
    </w:p>
    <w:p w14:paraId="0729ABED">
      <w:pPr>
        <w:adjustRightInd w:val="0"/>
        <w:snapToGrid w:val="0"/>
        <w:spacing w:line="360" w:lineRule="auto"/>
        <w:rPr>
          <w:rFonts w:hint="eastAsia" w:ascii="宋体" w:hAnsi="宋体" w:cs="宋体"/>
          <w:sz w:val="28"/>
          <w:szCs w:val="28"/>
        </w:rPr>
      </w:pPr>
    </w:p>
    <w:p w14:paraId="02AFD61D">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竞选人：</w:t>
      </w:r>
      <w:r>
        <w:rPr>
          <w:rFonts w:hint="eastAsia" w:ascii="宋体" w:hAnsi="宋体" w:cs="宋体"/>
          <w:sz w:val="28"/>
          <w:szCs w:val="28"/>
          <w:u w:val="single"/>
        </w:rPr>
        <w:t xml:space="preserve">                      </w:t>
      </w:r>
      <w:r>
        <w:rPr>
          <w:rFonts w:hint="eastAsia" w:ascii="宋体" w:hAnsi="宋体" w:cs="宋体"/>
          <w:sz w:val="28"/>
          <w:szCs w:val="28"/>
        </w:rPr>
        <w:t>（盖法人公章）</w:t>
      </w:r>
    </w:p>
    <w:p w14:paraId="30180945">
      <w:pPr>
        <w:adjustRightInd w:val="0"/>
        <w:snapToGrid w:val="0"/>
        <w:spacing w:line="360" w:lineRule="auto"/>
        <w:rPr>
          <w:rFonts w:hint="eastAsia" w:ascii="宋体" w:hAnsi="宋体" w:cs="宋体"/>
          <w:sz w:val="28"/>
          <w:szCs w:val="28"/>
        </w:rPr>
      </w:pPr>
    </w:p>
    <w:p w14:paraId="2D40FFEF">
      <w:pPr>
        <w:adjustRightInd w:val="0"/>
        <w:snapToGrid w:val="0"/>
        <w:spacing w:line="360" w:lineRule="auto"/>
        <w:ind w:firstLine="6020" w:firstLineChars="2150"/>
        <w:rPr>
          <w:rFonts w:hint="eastAsia"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tbl>
      <w:tblPr>
        <w:tblStyle w:val="12"/>
        <w:tblW w:w="0" w:type="auto"/>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4"/>
        <w:gridCol w:w="353"/>
        <w:gridCol w:w="3583"/>
      </w:tblGrid>
      <w:tr w14:paraId="6894F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584" w:type="dxa"/>
          </w:tcPr>
          <w:p w14:paraId="03B93C3D">
            <w:pPr>
              <w:adjustRightInd w:val="0"/>
              <w:snapToGrid w:val="0"/>
              <w:spacing w:line="360" w:lineRule="auto"/>
              <w:rPr>
                <w:rFonts w:hint="eastAsia" w:ascii="宋体" w:hAnsi="宋体" w:cs="宋体"/>
                <w:b/>
                <w:bCs/>
                <w:sz w:val="28"/>
                <w:szCs w:val="28"/>
              </w:rPr>
            </w:pPr>
          </w:p>
          <w:p w14:paraId="10228BA0">
            <w:pPr>
              <w:adjustRightInd w:val="0"/>
              <w:snapToGrid w:val="0"/>
              <w:spacing w:line="360" w:lineRule="auto"/>
              <w:rPr>
                <w:rFonts w:hint="eastAsia" w:ascii="宋体" w:hAnsi="宋体" w:cs="宋体"/>
                <w:b/>
                <w:bCs/>
                <w:sz w:val="28"/>
                <w:szCs w:val="28"/>
              </w:rPr>
            </w:pPr>
          </w:p>
          <w:p w14:paraId="2ED2A108">
            <w:pPr>
              <w:adjustRightInd w:val="0"/>
              <w:snapToGrid w:val="0"/>
              <w:spacing w:line="360" w:lineRule="auto"/>
              <w:rPr>
                <w:rFonts w:hint="eastAsia" w:ascii="宋体" w:hAnsi="宋体" w:cs="宋体"/>
                <w:bCs/>
                <w:sz w:val="22"/>
                <w:szCs w:val="22"/>
              </w:rPr>
            </w:pPr>
            <w:r>
              <w:rPr>
                <w:rFonts w:hint="eastAsia" w:ascii="宋体" w:hAnsi="宋体" w:cs="宋体"/>
                <w:bCs/>
                <w:sz w:val="22"/>
                <w:szCs w:val="22"/>
              </w:rPr>
              <w:t>（</w:t>
            </w:r>
            <w:r>
              <w:rPr>
                <w:rFonts w:hint="eastAsia" w:ascii="宋体" w:hAnsi="宋体" w:cs="宋体"/>
                <w:sz w:val="22"/>
                <w:szCs w:val="22"/>
              </w:rPr>
              <w:t>法定代表人身份证</w:t>
            </w:r>
            <w:r>
              <w:rPr>
                <w:rFonts w:hint="eastAsia" w:ascii="宋体" w:hAnsi="宋体" w:cs="宋体"/>
                <w:bCs/>
                <w:sz w:val="22"/>
                <w:szCs w:val="22"/>
              </w:rPr>
              <w:t>复印件正面）</w:t>
            </w:r>
          </w:p>
          <w:p w14:paraId="4BDF44EB">
            <w:pPr>
              <w:adjustRightInd w:val="0"/>
              <w:snapToGrid w:val="0"/>
              <w:spacing w:line="360" w:lineRule="auto"/>
              <w:rPr>
                <w:rFonts w:hint="eastAsia" w:ascii="宋体" w:hAnsi="宋体" w:cs="宋体"/>
                <w:sz w:val="28"/>
                <w:szCs w:val="28"/>
              </w:rPr>
            </w:pPr>
          </w:p>
          <w:p w14:paraId="4A3DFCF1">
            <w:pPr>
              <w:adjustRightInd w:val="0"/>
              <w:snapToGrid w:val="0"/>
              <w:spacing w:line="360" w:lineRule="auto"/>
              <w:rPr>
                <w:rFonts w:hint="eastAsia" w:ascii="宋体" w:hAnsi="宋体" w:cs="宋体"/>
                <w:sz w:val="28"/>
                <w:szCs w:val="28"/>
              </w:rPr>
            </w:pPr>
          </w:p>
        </w:tc>
        <w:tc>
          <w:tcPr>
            <w:tcW w:w="353" w:type="dxa"/>
            <w:tcBorders>
              <w:top w:val="nil"/>
              <w:bottom w:val="nil"/>
            </w:tcBorders>
          </w:tcPr>
          <w:p w14:paraId="6EB1822F">
            <w:pPr>
              <w:widowControl/>
              <w:adjustRightInd w:val="0"/>
              <w:snapToGrid w:val="0"/>
              <w:spacing w:line="360" w:lineRule="auto"/>
              <w:jc w:val="left"/>
              <w:rPr>
                <w:rFonts w:hint="eastAsia" w:ascii="宋体" w:hAnsi="宋体" w:cs="宋体"/>
                <w:sz w:val="28"/>
                <w:szCs w:val="28"/>
              </w:rPr>
            </w:pPr>
            <w:r>
              <w:rPr>
                <w:rFonts w:hint="eastAsia" w:ascii="宋体" w:hAnsi="宋体" w:cs="宋体"/>
                <w:sz w:val="28"/>
                <w:szCs w:val="28"/>
              </w:rPr>
              <w:t xml:space="preserve">   </w:t>
            </w:r>
          </w:p>
        </w:tc>
        <w:tc>
          <w:tcPr>
            <w:tcW w:w="3583" w:type="dxa"/>
          </w:tcPr>
          <w:p w14:paraId="62762E77">
            <w:pPr>
              <w:adjustRightInd w:val="0"/>
              <w:snapToGrid w:val="0"/>
              <w:spacing w:line="360" w:lineRule="auto"/>
              <w:rPr>
                <w:rFonts w:hint="eastAsia" w:ascii="宋体" w:hAnsi="宋体" w:cs="宋体"/>
                <w:sz w:val="28"/>
                <w:szCs w:val="28"/>
              </w:rPr>
            </w:pPr>
          </w:p>
          <w:p w14:paraId="71E1FA7C">
            <w:pPr>
              <w:adjustRightInd w:val="0"/>
              <w:snapToGrid w:val="0"/>
              <w:spacing w:line="360" w:lineRule="auto"/>
              <w:rPr>
                <w:rFonts w:hint="eastAsia" w:ascii="宋体" w:hAnsi="宋体" w:cs="宋体"/>
                <w:sz w:val="28"/>
                <w:szCs w:val="28"/>
              </w:rPr>
            </w:pPr>
          </w:p>
          <w:p w14:paraId="1A08F3BF">
            <w:pPr>
              <w:tabs>
                <w:tab w:val="left" w:pos="735"/>
              </w:tabs>
              <w:adjustRightInd w:val="0"/>
              <w:snapToGrid w:val="0"/>
              <w:spacing w:line="360" w:lineRule="auto"/>
              <w:rPr>
                <w:rFonts w:hint="eastAsia" w:ascii="宋体" w:hAnsi="宋体" w:cs="宋体"/>
                <w:sz w:val="28"/>
                <w:szCs w:val="28"/>
              </w:rPr>
            </w:pPr>
            <w:r>
              <w:rPr>
                <w:rFonts w:hint="eastAsia" w:ascii="宋体" w:hAnsi="宋体" w:cs="宋体"/>
                <w:sz w:val="22"/>
                <w:szCs w:val="22"/>
              </w:rPr>
              <w:t>（法定代表人身份证</w:t>
            </w:r>
            <w:r>
              <w:rPr>
                <w:rFonts w:hint="eastAsia" w:ascii="宋体" w:hAnsi="宋体" w:cs="宋体"/>
                <w:bCs/>
                <w:sz w:val="22"/>
                <w:szCs w:val="22"/>
              </w:rPr>
              <w:t>复印件背面</w:t>
            </w:r>
            <w:r>
              <w:rPr>
                <w:rFonts w:hint="eastAsia" w:ascii="宋体" w:hAnsi="宋体" w:cs="宋体"/>
                <w:sz w:val="22"/>
                <w:szCs w:val="22"/>
              </w:rPr>
              <w:t>）</w:t>
            </w:r>
          </w:p>
        </w:tc>
      </w:tr>
    </w:tbl>
    <w:p w14:paraId="44CE7B55">
      <w:pPr>
        <w:pStyle w:val="6"/>
        <w:adjustRightInd w:val="0"/>
        <w:snapToGrid w:val="0"/>
        <w:spacing w:line="360" w:lineRule="auto"/>
        <w:ind w:firstLine="0" w:firstLineChars="0"/>
        <w:rPr>
          <w:rFonts w:ascii="宋体" w:hAnsi="宋体" w:cs="宋体"/>
          <w:sz w:val="21"/>
          <w:szCs w:val="21"/>
        </w:rPr>
      </w:pPr>
    </w:p>
    <w:p w14:paraId="1C31B8AD">
      <w:pPr>
        <w:pStyle w:val="6"/>
        <w:adjustRightInd w:val="0"/>
        <w:snapToGrid w:val="0"/>
        <w:spacing w:line="360" w:lineRule="auto"/>
        <w:ind w:firstLine="0" w:firstLineChars="0"/>
        <w:rPr>
          <w:rFonts w:ascii="宋体" w:hAnsi="宋体" w:cs="宋体"/>
          <w:sz w:val="21"/>
          <w:szCs w:val="21"/>
        </w:rPr>
      </w:pPr>
      <w:r>
        <w:rPr>
          <w:rFonts w:hint="eastAsia" w:ascii="宋体" w:hAnsi="宋体" w:cs="宋体"/>
          <w:sz w:val="21"/>
          <w:szCs w:val="21"/>
        </w:rPr>
        <w:t>注：如由法定代表人投标并签署投标文件，需提供法定代表人证明书，否则需提供法定代表人证明书和法人授权委托证明书。</w:t>
      </w:r>
    </w:p>
    <w:p w14:paraId="1A811AD7">
      <w:pPr>
        <w:pStyle w:val="6"/>
        <w:adjustRightInd w:val="0"/>
        <w:snapToGrid w:val="0"/>
        <w:spacing w:line="360" w:lineRule="auto"/>
        <w:ind w:firstLine="0" w:firstLineChars="0"/>
        <w:rPr>
          <w:rFonts w:hint="eastAsia" w:ascii="宋体" w:hAnsi="宋体" w:eastAsia="宋体" w:cs="宋体"/>
          <w:kern w:val="0"/>
          <w:sz w:val="21"/>
          <w:szCs w:val="21"/>
          <w:lang w:val="en-US" w:eastAsia="zh-CN"/>
        </w:rPr>
      </w:pPr>
      <w:r>
        <w:rPr>
          <w:rFonts w:hint="eastAsia" w:ascii="宋体" w:hAnsi="宋体" w:cs="宋体"/>
          <w:b/>
          <w:szCs w:val="28"/>
        </w:rPr>
        <w:br w:type="page"/>
      </w:r>
      <w:r>
        <w:rPr>
          <w:rFonts w:hint="eastAsia" w:ascii="宋体" w:hAnsi="宋体" w:cs="宋体"/>
          <w:b/>
          <w:szCs w:val="28"/>
        </w:rPr>
        <w:t>附件</w:t>
      </w:r>
      <w:r>
        <w:rPr>
          <w:rFonts w:hint="eastAsia" w:ascii="宋体" w:hAnsi="宋体" w:eastAsia="宋体" w:cs="宋体"/>
          <w:b/>
          <w:szCs w:val="28"/>
          <w:lang w:val="en-US" w:eastAsia="zh-CN"/>
        </w:rPr>
        <w:t>5</w:t>
      </w:r>
    </w:p>
    <w:p w14:paraId="5332EDB2">
      <w:pPr>
        <w:adjustRightInd w:val="0"/>
        <w:snapToGrid w:val="0"/>
        <w:spacing w:line="360" w:lineRule="auto"/>
        <w:jc w:val="center"/>
        <w:rPr>
          <w:rFonts w:hint="eastAsia" w:ascii="宋体" w:hAnsi="宋体" w:cs="宋体"/>
          <w:b/>
          <w:kern w:val="0"/>
          <w:sz w:val="44"/>
          <w:szCs w:val="44"/>
        </w:rPr>
      </w:pPr>
      <w:r>
        <w:rPr>
          <w:rFonts w:hint="eastAsia" w:ascii="宋体" w:hAnsi="宋体" w:cs="宋体"/>
          <w:b/>
          <w:kern w:val="0"/>
          <w:sz w:val="36"/>
          <w:szCs w:val="36"/>
        </w:rPr>
        <w:t>承诺书</w:t>
      </w:r>
    </w:p>
    <w:p w14:paraId="56514513">
      <w:pPr>
        <w:adjustRightInd w:val="0"/>
        <w:snapToGrid w:val="0"/>
        <w:spacing w:line="360" w:lineRule="auto"/>
        <w:rPr>
          <w:rFonts w:hint="eastAsia" w:ascii="宋体" w:hAnsi="宋体" w:cs="宋体"/>
          <w:b/>
          <w:bCs/>
          <w:sz w:val="28"/>
          <w:szCs w:val="28"/>
          <w:u w:val="single"/>
        </w:rPr>
      </w:pPr>
      <w:r>
        <w:rPr>
          <w:rFonts w:hint="eastAsia" w:ascii="宋体" w:hAnsi="宋体" w:cs="宋体"/>
          <w:b/>
          <w:bCs/>
          <w:sz w:val="28"/>
          <w:szCs w:val="28"/>
          <w:u w:val="single"/>
        </w:rPr>
        <w:t>致：重庆渝开发股份有限公司</w:t>
      </w:r>
    </w:p>
    <w:p w14:paraId="5DC2DB26">
      <w:pPr>
        <w:pStyle w:val="17"/>
        <w:adjustRightInd w:val="0"/>
        <w:snapToGrid w:val="0"/>
        <w:spacing w:line="360" w:lineRule="auto"/>
        <w:ind w:firstLineChars="150"/>
        <w:rPr>
          <w:rFonts w:hint="eastAsia" w:ascii="宋体" w:hAnsi="宋体" w:cs="宋体"/>
          <w:bCs/>
          <w:sz w:val="28"/>
          <w:szCs w:val="28"/>
        </w:rPr>
      </w:pPr>
      <w:r>
        <w:rPr>
          <w:rFonts w:hint="eastAsia" w:ascii="宋体" w:hAnsi="宋体" w:cs="宋体"/>
          <w:bCs/>
          <w:sz w:val="28"/>
          <w:szCs w:val="28"/>
        </w:rPr>
        <w:t>我司已收悉并认真阅读和研究贵司</w:t>
      </w:r>
      <w:r>
        <w:rPr>
          <w:rFonts w:hint="eastAsia" w:ascii="宋体" w:hAnsi="宋体" w:cs="宋体"/>
          <w:bCs/>
          <w:sz w:val="28"/>
          <w:szCs w:val="28"/>
          <w:u w:val="single"/>
        </w:rPr>
        <w:t>《渝开发</w:t>
      </w:r>
      <w:r>
        <w:rPr>
          <w:rFonts w:hint="eastAsia" w:ascii="宋体" w:hAnsi="宋体" w:cs="宋体"/>
          <w:sz w:val="28"/>
          <w:szCs w:val="28"/>
          <w:u w:val="single"/>
        </w:rPr>
        <w:t>2024年年度市场监测咨询服务合作</w:t>
      </w:r>
      <w:r>
        <w:rPr>
          <w:rFonts w:ascii="宋体" w:hAnsi="宋体" w:cs="宋体"/>
          <w:sz w:val="28"/>
          <w:szCs w:val="28"/>
          <w:u w:val="single"/>
        </w:rPr>
        <w:t>单位</w:t>
      </w:r>
      <w:r>
        <w:rPr>
          <w:rFonts w:hint="eastAsia" w:ascii="宋体" w:hAnsi="宋体" w:cs="宋体"/>
          <w:sz w:val="28"/>
          <w:szCs w:val="28"/>
          <w:u w:val="single"/>
        </w:rPr>
        <w:t>竞争性比选文件</w:t>
      </w:r>
      <w:r>
        <w:rPr>
          <w:rFonts w:hint="eastAsia" w:ascii="宋体" w:hAnsi="宋体" w:cs="宋体"/>
          <w:bCs/>
          <w:sz w:val="28"/>
          <w:szCs w:val="28"/>
          <w:u w:val="single"/>
        </w:rPr>
        <w:t>》</w:t>
      </w:r>
      <w:r>
        <w:rPr>
          <w:rFonts w:hint="eastAsia" w:ascii="宋体" w:hAnsi="宋体" w:cs="宋体"/>
          <w:bCs/>
          <w:sz w:val="28"/>
          <w:szCs w:val="28"/>
        </w:rPr>
        <w:t>，郑重决定参加比选并承诺如下：</w:t>
      </w:r>
    </w:p>
    <w:p w14:paraId="7DC31324">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1、我司愿意按照竞争性比选文件的一切要求，向贵司提报真实有效的参选文件。一旦查实发现我司提供了虚假资料，贵司有权罚没我司0.5万元参选保证金，并将我司列入合作单位黑名单。</w:t>
      </w:r>
    </w:p>
    <w:p w14:paraId="258533C5">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2、如果我司作为中选人，将严格按照竞争性比选文件要求及时与贵司签订《渝开发2024年年度市场监测咨询服务合同》。若我司未能及时与贵司衔接办理合同签订事宜，严重影响贵司相关工作，贵司有权罚没我司0.5万元履约保证金，并有权追究由此带给贵司产生的相关经济损失，且将我司列入合作单位黑名单。</w:t>
      </w:r>
    </w:p>
    <w:p w14:paraId="48F274CA">
      <w:pPr>
        <w:tabs>
          <w:tab w:val="left" w:pos="360"/>
          <w:tab w:val="left" w:pos="900"/>
          <w:tab w:val="left" w:pos="1080"/>
        </w:tabs>
        <w:adjustRightInd w:val="0"/>
        <w:snapToGrid w:val="0"/>
        <w:spacing w:line="360" w:lineRule="auto"/>
        <w:ind w:firstLine="420" w:firstLineChars="150"/>
        <w:rPr>
          <w:rFonts w:hint="eastAsia" w:ascii="宋体" w:hAnsi="宋体" w:cs="宋体"/>
          <w:bCs/>
          <w:sz w:val="28"/>
          <w:szCs w:val="28"/>
        </w:rPr>
      </w:pPr>
      <w:r>
        <w:rPr>
          <w:rFonts w:hint="eastAsia" w:ascii="宋体" w:hAnsi="宋体" w:cs="宋体"/>
          <w:bCs/>
          <w:sz w:val="28"/>
          <w:szCs w:val="28"/>
        </w:rPr>
        <w:t>3、若我司中选，将严格按照竞争性比选文件约定及贵司合作要求尽快组织开展渝开发</w:t>
      </w:r>
      <w:r>
        <w:rPr>
          <w:rFonts w:hint="eastAsia" w:ascii="宋体" w:hAnsi="宋体" w:cs="宋体"/>
          <w:sz w:val="28"/>
          <w:szCs w:val="28"/>
        </w:rPr>
        <w:t>2024年年度市场监测咨询服务</w:t>
      </w:r>
      <w:r>
        <w:rPr>
          <w:rFonts w:hint="eastAsia" w:ascii="宋体" w:hAnsi="宋体" w:cs="宋体"/>
          <w:bCs/>
          <w:sz w:val="28"/>
          <w:szCs w:val="28"/>
        </w:rPr>
        <w:t>工作，</w:t>
      </w:r>
      <w:r>
        <w:rPr>
          <w:rFonts w:hint="eastAsia" w:ascii="宋体" w:hAnsi="宋体" w:cs="宋体"/>
          <w:sz w:val="28"/>
          <w:szCs w:val="28"/>
        </w:rPr>
        <w:t>不任意对比选文件所列项目或降低标准，按时</w:t>
      </w:r>
      <w:r>
        <w:rPr>
          <w:rFonts w:hint="eastAsia" w:ascii="宋体" w:hAnsi="宋体" w:cs="宋体"/>
          <w:bCs/>
          <w:sz w:val="28"/>
          <w:szCs w:val="28"/>
        </w:rPr>
        <w:t>分阶段完成全部约定工作内容，接受贵司对我司合同期限内的要求与考核，并在履行合同期满且完成全部工作内容后，及时提交本次合同的验收报告，并积极配合贵司合同结算工作。</w:t>
      </w:r>
    </w:p>
    <w:p w14:paraId="6A2FD490">
      <w:pPr>
        <w:adjustRightInd w:val="0"/>
        <w:snapToGrid w:val="0"/>
        <w:spacing w:line="360" w:lineRule="auto"/>
        <w:ind w:firstLine="560" w:firstLineChars="200"/>
        <w:rPr>
          <w:rFonts w:hint="eastAsia" w:ascii="宋体" w:hAnsi="宋体" w:cs="宋体"/>
          <w:bCs/>
          <w:sz w:val="28"/>
          <w:szCs w:val="28"/>
        </w:rPr>
      </w:pPr>
    </w:p>
    <w:p w14:paraId="211948F3">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特此承诺</w:t>
      </w:r>
    </w:p>
    <w:p w14:paraId="602077DF">
      <w:pPr>
        <w:adjustRightInd w:val="0"/>
        <w:snapToGrid w:val="0"/>
        <w:spacing w:line="360" w:lineRule="auto"/>
        <w:ind w:firstLine="560" w:firstLineChars="200"/>
        <w:rPr>
          <w:rFonts w:hint="eastAsia" w:ascii="宋体" w:hAnsi="宋体" w:cs="宋体"/>
          <w:bCs/>
          <w:sz w:val="28"/>
          <w:szCs w:val="28"/>
        </w:rPr>
      </w:pPr>
    </w:p>
    <w:p w14:paraId="6578DFE5">
      <w:pPr>
        <w:adjustRightInd w:val="0"/>
        <w:snapToGrid w:val="0"/>
        <w:spacing w:line="360" w:lineRule="auto"/>
        <w:ind w:firstLine="560" w:firstLineChars="200"/>
        <w:rPr>
          <w:rFonts w:hint="eastAsia" w:ascii="宋体" w:hAnsi="宋体" w:cs="宋体"/>
          <w:bCs/>
          <w:sz w:val="28"/>
          <w:szCs w:val="28"/>
        </w:rPr>
      </w:pPr>
    </w:p>
    <w:p w14:paraId="33340248">
      <w:pPr>
        <w:adjustRightInd w:val="0"/>
        <w:snapToGrid w:val="0"/>
        <w:spacing w:line="360" w:lineRule="auto"/>
        <w:rPr>
          <w:rFonts w:hint="eastAsia" w:ascii="宋体" w:hAnsi="宋体" w:cs="宋体"/>
          <w:bCs/>
          <w:sz w:val="28"/>
          <w:szCs w:val="28"/>
        </w:rPr>
        <w:sectPr>
          <w:pgSz w:w="11906" w:h="16838"/>
          <w:pgMar w:top="1304" w:right="1587" w:bottom="1304" w:left="935" w:header="851" w:footer="992" w:gutter="0"/>
          <w:cols w:space="720" w:num="1"/>
          <w:docGrid w:linePitch="312" w:charSpace="0"/>
        </w:sectPr>
      </w:pPr>
      <w:r>
        <w:rPr>
          <w:rFonts w:hint="eastAsia" w:ascii="宋体" w:hAnsi="宋体" w:cs="宋体"/>
          <w:bCs/>
          <w:sz w:val="28"/>
          <w:szCs w:val="28"/>
        </w:rPr>
        <w:t xml:space="preserve">                                   参选人：（加盖公章）</w:t>
      </w:r>
    </w:p>
    <w:p w14:paraId="7850B6FE">
      <w:pPr>
        <w:spacing w:line="440" w:lineRule="exact"/>
        <w:ind w:right="980"/>
        <w:rPr>
          <w:rFonts w:hint="eastAsia" w:ascii="宋体" w:hAnsi="宋体" w:eastAsia="宋体" w:cs="宋体"/>
          <w:b/>
          <w:sz w:val="28"/>
          <w:szCs w:val="28"/>
          <w:lang w:val="en-US" w:eastAsia="zh-CN"/>
        </w:rPr>
      </w:pPr>
      <w:r>
        <w:rPr>
          <w:rFonts w:hint="eastAsia" w:ascii="宋体" w:hAnsi="宋体" w:cs="宋体"/>
          <w:b/>
          <w:sz w:val="28"/>
          <w:szCs w:val="28"/>
        </w:rPr>
        <w:t>附件</w:t>
      </w:r>
      <w:r>
        <w:rPr>
          <w:rFonts w:hint="eastAsia" w:ascii="宋体" w:hAnsi="宋体" w:cs="宋体"/>
          <w:b/>
          <w:sz w:val="28"/>
          <w:szCs w:val="28"/>
          <w:lang w:val="en-US" w:eastAsia="zh-CN"/>
        </w:rPr>
        <w:t>6</w:t>
      </w:r>
    </w:p>
    <w:p w14:paraId="6CFA7192">
      <w:pPr>
        <w:pStyle w:val="6"/>
        <w:adjustRightInd w:val="0"/>
        <w:snapToGrid w:val="0"/>
        <w:spacing w:line="360" w:lineRule="auto"/>
        <w:ind w:firstLine="0" w:firstLineChars="0"/>
        <w:jc w:val="center"/>
        <w:rPr>
          <w:rFonts w:ascii="宋体" w:hAnsi="宋体" w:cs="宋体"/>
          <w:b/>
          <w:color w:val="000000"/>
          <w:sz w:val="36"/>
          <w:szCs w:val="36"/>
        </w:rPr>
      </w:pPr>
      <w:r>
        <w:rPr>
          <w:rFonts w:hint="eastAsia"/>
          <w:b/>
          <w:color w:val="000000"/>
          <w:sz w:val="36"/>
          <w:szCs w:val="36"/>
        </w:rPr>
        <w:t>业绩</w:t>
      </w:r>
      <w:r>
        <w:rPr>
          <w:rFonts w:hint="eastAsia" w:eastAsia="宋体"/>
          <w:b/>
          <w:color w:val="000000"/>
          <w:sz w:val="36"/>
          <w:szCs w:val="36"/>
        </w:rPr>
        <w:t>合同</w:t>
      </w:r>
      <w:r>
        <w:rPr>
          <w:rFonts w:hint="eastAsia"/>
          <w:b/>
          <w:color w:val="000000"/>
          <w:sz w:val="36"/>
          <w:szCs w:val="36"/>
        </w:rPr>
        <w:t>要求</w:t>
      </w:r>
    </w:p>
    <w:p w14:paraId="2DE2C50B">
      <w:pPr>
        <w:jc w:val="center"/>
        <w:rPr>
          <w:rFonts w:ascii="宋体"/>
          <w:b/>
          <w:color w:val="000000"/>
          <w:sz w:val="24"/>
        </w:rPr>
      </w:pPr>
      <w:r>
        <w:rPr>
          <w:rFonts w:hint="eastAsia" w:ascii="宋体" w:hAnsi="宋体"/>
          <w:b/>
          <w:color w:val="000000"/>
          <w:sz w:val="24"/>
        </w:rPr>
        <w:t>2021年1月1日起至今</w:t>
      </w:r>
      <w:r>
        <w:rPr>
          <w:rFonts w:hint="eastAsia" w:ascii="宋体" w:hAnsi="宋体"/>
          <w:b/>
          <w:bCs/>
          <w:color w:val="000000"/>
          <w:sz w:val="24"/>
        </w:rPr>
        <w:t>重庆市主城区范围内</w:t>
      </w:r>
      <w:r>
        <w:rPr>
          <w:rFonts w:hint="eastAsia" w:ascii="宋体" w:hAnsi="宋体"/>
          <w:b/>
          <w:color w:val="000000"/>
          <w:sz w:val="24"/>
        </w:rPr>
        <w:t>服务合作业绩</w:t>
      </w:r>
    </w:p>
    <w:tbl>
      <w:tblPr>
        <w:tblStyle w:val="12"/>
        <w:tblpPr w:leftFromText="180" w:rightFromText="180" w:vertAnchor="text" w:horzAnchor="margin" w:tblpXSpec="center" w:tblpY="3"/>
        <w:tblOverlap w:val="neve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25"/>
        <w:gridCol w:w="2070"/>
        <w:gridCol w:w="1875"/>
        <w:gridCol w:w="1665"/>
        <w:gridCol w:w="1672"/>
        <w:gridCol w:w="1497"/>
      </w:tblGrid>
      <w:tr w14:paraId="5E920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jc w:val="center"/>
        </w:trPr>
        <w:tc>
          <w:tcPr>
            <w:tcW w:w="1625" w:type="dxa"/>
            <w:vAlign w:val="center"/>
          </w:tcPr>
          <w:p w14:paraId="44AEE995">
            <w:pPr>
              <w:pStyle w:val="7"/>
              <w:jc w:val="center"/>
              <w:rPr>
                <w:rFonts w:hAnsi="宋体"/>
                <w:b/>
                <w:color w:val="000000"/>
              </w:rPr>
            </w:pPr>
            <w:r>
              <w:rPr>
                <w:rFonts w:hint="eastAsia" w:hAnsi="宋体"/>
                <w:b/>
                <w:color w:val="000000"/>
              </w:rPr>
              <w:t>项目序列</w:t>
            </w:r>
          </w:p>
        </w:tc>
        <w:tc>
          <w:tcPr>
            <w:tcW w:w="2070" w:type="dxa"/>
            <w:vAlign w:val="center"/>
          </w:tcPr>
          <w:p w14:paraId="3FFCD802">
            <w:pPr>
              <w:pStyle w:val="7"/>
              <w:jc w:val="center"/>
              <w:rPr>
                <w:rFonts w:hAnsi="宋体"/>
                <w:b/>
                <w:color w:val="000000"/>
              </w:rPr>
            </w:pPr>
            <w:r>
              <w:rPr>
                <w:rFonts w:hint="eastAsia" w:hAnsi="宋体"/>
                <w:b/>
                <w:color w:val="000000"/>
              </w:rPr>
              <w:t>项目名称</w:t>
            </w:r>
          </w:p>
        </w:tc>
        <w:tc>
          <w:tcPr>
            <w:tcW w:w="1875" w:type="dxa"/>
            <w:vAlign w:val="center"/>
          </w:tcPr>
          <w:p w14:paraId="23D210B8">
            <w:pPr>
              <w:pStyle w:val="7"/>
              <w:jc w:val="center"/>
              <w:rPr>
                <w:rFonts w:hint="eastAsia" w:hAnsi="宋体" w:eastAsia="宋体" w:cs="宋体"/>
                <w:b/>
                <w:bCs/>
                <w:color w:val="000000"/>
                <w:kern w:val="0"/>
              </w:rPr>
            </w:pPr>
            <w:r>
              <w:rPr>
                <w:rFonts w:hint="eastAsia" w:hAnsi="宋体" w:cs="宋体"/>
                <w:b/>
                <w:bCs/>
                <w:color w:val="000000"/>
                <w:kern w:val="0"/>
              </w:rPr>
              <w:t>开发商</w:t>
            </w:r>
            <w:r>
              <w:rPr>
                <w:rFonts w:hint="eastAsia" w:hAnsi="宋体" w:eastAsia="宋体" w:cs="宋体"/>
                <w:b/>
                <w:bCs/>
                <w:color w:val="000000"/>
                <w:kern w:val="0"/>
              </w:rPr>
              <w:t>或</w:t>
            </w:r>
          </w:p>
          <w:p w14:paraId="1F3D7145">
            <w:pPr>
              <w:pStyle w:val="7"/>
              <w:jc w:val="center"/>
              <w:rPr>
                <w:rFonts w:hAnsi="宋体"/>
                <w:b/>
                <w:color w:val="000000"/>
              </w:rPr>
            </w:pPr>
            <w:r>
              <w:rPr>
                <w:rFonts w:hint="eastAsia" w:hAnsi="宋体" w:cs="宋体"/>
                <w:b/>
                <w:bCs/>
                <w:color w:val="000000"/>
                <w:kern w:val="0"/>
              </w:rPr>
              <w:t>企业名称</w:t>
            </w:r>
          </w:p>
        </w:tc>
        <w:tc>
          <w:tcPr>
            <w:tcW w:w="1665" w:type="dxa"/>
            <w:vAlign w:val="center"/>
          </w:tcPr>
          <w:p w14:paraId="3051BFD3">
            <w:pPr>
              <w:pStyle w:val="7"/>
              <w:jc w:val="center"/>
              <w:rPr>
                <w:rFonts w:hAnsi="宋体"/>
                <w:b/>
                <w:color w:val="000000"/>
              </w:rPr>
            </w:pPr>
            <w:r>
              <w:rPr>
                <w:rFonts w:hint="eastAsia" w:hAnsi="宋体"/>
                <w:b/>
                <w:color w:val="000000"/>
              </w:rPr>
              <w:t>项目地址</w:t>
            </w:r>
          </w:p>
        </w:tc>
        <w:tc>
          <w:tcPr>
            <w:tcW w:w="1672" w:type="dxa"/>
            <w:vAlign w:val="center"/>
          </w:tcPr>
          <w:p w14:paraId="6932F5EF">
            <w:pPr>
              <w:pStyle w:val="7"/>
              <w:jc w:val="center"/>
              <w:rPr>
                <w:rFonts w:hAnsi="宋体"/>
                <w:b/>
                <w:color w:val="000000"/>
              </w:rPr>
            </w:pPr>
            <w:r>
              <w:rPr>
                <w:rFonts w:hint="eastAsia" w:hAnsi="宋体"/>
                <w:b/>
                <w:color w:val="000000"/>
              </w:rPr>
              <w:t>合同签约时间</w:t>
            </w:r>
          </w:p>
        </w:tc>
        <w:tc>
          <w:tcPr>
            <w:tcW w:w="1497" w:type="dxa"/>
            <w:vAlign w:val="center"/>
          </w:tcPr>
          <w:p w14:paraId="1A32B415">
            <w:pPr>
              <w:pStyle w:val="7"/>
              <w:jc w:val="center"/>
              <w:rPr>
                <w:rFonts w:hAnsi="宋体"/>
                <w:b/>
                <w:color w:val="000000"/>
              </w:rPr>
            </w:pPr>
            <w:r>
              <w:rPr>
                <w:rFonts w:hint="eastAsia" w:hAnsi="宋体" w:eastAsia="宋体"/>
                <w:b/>
                <w:color w:val="000000"/>
              </w:rPr>
              <w:t>服务期限</w:t>
            </w:r>
          </w:p>
        </w:tc>
      </w:tr>
      <w:tr w14:paraId="56CE6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625" w:type="dxa"/>
            <w:vAlign w:val="center"/>
          </w:tcPr>
          <w:p w14:paraId="0DCEAA93">
            <w:pPr>
              <w:pStyle w:val="7"/>
              <w:jc w:val="center"/>
              <w:rPr>
                <w:rFonts w:hint="eastAsia" w:hAnsi="宋体" w:eastAsia="宋体"/>
                <w:b/>
                <w:color w:val="000000"/>
              </w:rPr>
            </w:pPr>
            <w:r>
              <w:rPr>
                <w:rFonts w:hint="eastAsia" w:hAnsi="宋体" w:eastAsia="宋体"/>
                <w:b/>
                <w:color w:val="000000"/>
              </w:rPr>
              <w:t>1</w:t>
            </w:r>
          </w:p>
        </w:tc>
        <w:tc>
          <w:tcPr>
            <w:tcW w:w="2070" w:type="dxa"/>
            <w:vAlign w:val="center"/>
          </w:tcPr>
          <w:p w14:paraId="0A6A5EAF">
            <w:pPr>
              <w:pStyle w:val="7"/>
              <w:jc w:val="center"/>
              <w:rPr>
                <w:rFonts w:hAnsi="宋体"/>
                <w:color w:val="000000"/>
              </w:rPr>
            </w:pPr>
          </w:p>
        </w:tc>
        <w:tc>
          <w:tcPr>
            <w:tcW w:w="1875" w:type="dxa"/>
            <w:vAlign w:val="center"/>
          </w:tcPr>
          <w:p w14:paraId="6CA337A8">
            <w:pPr>
              <w:pStyle w:val="7"/>
              <w:jc w:val="center"/>
              <w:rPr>
                <w:rFonts w:hAnsi="宋体"/>
                <w:color w:val="000000"/>
              </w:rPr>
            </w:pPr>
          </w:p>
        </w:tc>
        <w:tc>
          <w:tcPr>
            <w:tcW w:w="1665" w:type="dxa"/>
            <w:vAlign w:val="center"/>
          </w:tcPr>
          <w:p w14:paraId="0C6C739F">
            <w:pPr>
              <w:pStyle w:val="7"/>
              <w:jc w:val="center"/>
              <w:rPr>
                <w:rFonts w:hAnsi="宋体"/>
                <w:color w:val="000000"/>
              </w:rPr>
            </w:pPr>
          </w:p>
        </w:tc>
        <w:tc>
          <w:tcPr>
            <w:tcW w:w="1672" w:type="dxa"/>
            <w:vAlign w:val="center"/>
          </w:tcPr>
          <w:p w14:paraId="6E7D7DA2">
            <w:pPr>
              <w:pStyle w:val="7"/>
              <w:jc w:val="center"/>
              <w:rPr>
                <w:rFonts w:hAnsi="宋体"/>
                <w:color w:val="000000"/>
              </w:rPr>
            </w:pPr>
          </w:p>
        </w:tc>
        <w:tc>
          <w:tcPr>
            <w:tcW w:w="1497" w:type="dxa"/>
            <w:vAlign w:val="center"/>
          </w:tcPr>
          <w:p w14:paraId="48B67C13">
            <w:pPr>
              <w:pStyle w:val="7"/>
              <w:jc w:val="center"/>
              <w:rPr>
                <w:rFonts w:hAnsi="宋体"/>
                <w:color w:val="000000"/>
              </w:rPr>
            </w:pPr>
          </w:p>
        </w:tc>
      </w:tr>
      <w:tr w14:paraId="35782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625" w:type="dxa"/>
            <w:vAlign w:val="center"/>
          </w:tcPr>
          <w:p w14:paraId="522F1EF5">
            <w:pPr>
              <w:pStyle w:val="7"/>
              <w:jc w:val="center"/>
              <w:rPr>
                <w:rFonts w:hint="eastAsia" w:hAnsi="宋体" w:eastAsia="宋体"/>
                <w:b/>
                <w:color w:val="000000"/>
              </w:rPr>
            </w:pPr>
            <w:r>
              <w:rPr>
                <w:rFonts w:hint="eastAsia" w:hAnsi="宋体" w:eastAsia="宋体"/>
                <w:b/>
                <w:color w:val="000000"/>
              </w:rPr>
              <w:t>2</w:t>
            </w:r>
          </w:p>
        </w:tc>
        <w:tc>
          <w:tcPr>
            <w:tcW w:w="2070" w:type="dxa"/>
            <w:vAlign w:val="center"/>
          </w:tcPr>
          <w:p w14:paraId="47B613DB">
            <w:pPr>
              <w:pStyle w:val="7"/>
              <w:jc w:val="center"/>
              <w:rPr>
                <w:rFonts w:hAnsi="宋体"/>
                <w:color w:val="000000"/>
              </w:rPr>
            </w:pPr>
          </w:p>
        </w:tc>
        <w:tc>
          <w:tcPr>
            <w:tcW w:w="1875" w:type="dxa"/>
            <w:vAlign w:val="center"/>
          </w:tcPr>
          <w:p w14:paraId="6D1CB20C">
            <w:pPr>
              <w:pStyle w:val="7"/>
              <w:jc w:val="center"/>
              <w:rPr>
                <w:rFonts w:hAnsi="宋体"/>
                <w:color w:val="000000"/>
              </w:rPr>
            </w:pPr>
          </w:p>
        </w:tc>
        <w:tc>
          <w:tcPr>
            <w:tcW w:w="1665" w:type="dxa"/>
            <w:vAlign w:val="center"/>
          </w:tcPr>
          <w:p w14:paraId="5D25A075">
            <w:pPr>
              <w:pStyle w:val="7"/>
              <w:jc w:val="center"/>
              <w:rPr>
                <w:rFonts w:hAnsi="宋体"/>
                <w:color w:val="000000"/>
              </w:rPr>
            </w:pPr>
          </w:p>
        </w:tc>
        <w:tc>
          <w:tcPr>
            <w:tcW w:w="1672" w:type="dxa"/>
            <w:vAlign w:val="center"/>
          </w:tcPr>
          <w:p w14:paraId="646AB091">
            <w:pPr>
              <w:pStyle w:val="7"/>
              <w:jc w:val="center"/>
              <w:rPr>
                <w:rFonts w:hAnsi="宋体"/>
                <w:color w:val="000000"/>
              </w:rPr>
            </w:pPr>
          </w:p>
        </w:tc>
        <w:tc>
          <w:tcPr>
            <w:tcW w:w="1497" w:type="dxa"/>
            <w:vAlign w:val="center"/>
          </w:tcPr>
          <w:p w14:paraId="25E0E48F">
            <w:pPr>
              <w:pStyle w:val="7"/>
              <w:jc w:val="center"/>
              <w:rPr>
                <w:rFonts w:hAnsi="宋体"/>
                <w:color w:val="000000"/>
              </w:rPr>
            </w:pPr>
          </w:p>
        </w:tc>
      </w:tr>
      <w:tr w14:paraId="40B67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625" w:type="dxa"/>
            <w:vAlign w:val="center"/>
          </w:tcPr>
          <w:p w14:paraId="5BE24946">
            <w:pPr>
              <w:pStyle w:val="7"/>
              <w:jc w:val="center"/>
              <w:rPr>
                <w:rFonts w:hint="eastAsia" w:hAnsi="宋体" w:eastAsia="宋体"/>
                <w:b/>
                <w:color w:val="000000"/>
              </w:rPr>
            </w:pPr>
            <w:r>
              <w:rPr>
                <w:rFonts w:hint="eastAsia" w:hAnsi="宋体" w:eastAsia="宋体"/>
                <w:b/>
                <w:color w:val="000000"/>
              </w:rPr>
              <w:t>3</w:t>
            </w:r>
          </w:p>
        </w:tc>
        <w:tc>
          <w:tcPr>
            <w:tcW w:w="2070" w:type="dxa"/>
            <w:vAlign w:val="center"/>
          </w:tcPr>
          <w:p w14:paraId="45EB52D4">
            <w:pPr>
              <w:pStyle w:val="7"/>
              <w:jc w:val="center"/>
              <w:rPr>
                <w:rFonts w:hAnsi="宋体"/>
                <w:color w:val="000000"/>
              </w:rPr>
            </w:pPr>
          </w:p>
        </w:tc>
        <w:tc>
          <w:tcPr>
            <w:tcW w:w="1875" w:type="dxa"/>
            <w:vAlign w:val="center"/>
          </w:tcPr>
          <w:p w14:paraId="20E399E3">
            <w:pPr>
              <w:pStyle w:val="7"/>
              <w:jc w:val="center"/>
              <w:rPr>
                <w:rFonts w:hAnsi="宋体"/>
                <w:color w:val="000000"/>
              </w:rPr>
            </w:pPr>
          </w:p>
        </w:tc>
        <w:tc>
          <w:tcPr>
            <w:tcW w:w="1665" w:type="dxa"/>
            <w:vAlign w:val="center"/>
          </w:tcPr>
          <w:p w14:paraId="5B84F8C3">
            <w:pPr>
              <w:pStyle w:val="7"/>
              <w:jc w:val="center"/>
              <w:rPr>
                <w:rFonts w:hAnsi="宋体"/>
                <w:color w:val="000000"/>
              </w:rPr>
            </w:pPr>
          </w:p>
        </w:tc>
        <w:tc>
          <w:tcPr>
            <w:tcW w:w="1672" w:type="dxa"/>
            <w:vAlign w:val="center"/>
          </w:tcPr>
          <w:p w14:paraId="098C8A89">
            <w:pPr>
              <w:pStyle w:val="7"/>
              <w:jc w:val="center"/>
              <w:rPr>
                <w:rFonts w:hAnsi="宋体"/>
                <w:color w:val="000000"/>
              </w:rPr>
            </w:pPr>
          </w:p>
        </w:tc>
        <w:tc>
          <w:tcPr>
            <w:tcW w:w="1497" w:type="dxa"/>
            <w:vAlign w:val="center"/>
          </w:tcPr>
          <w:p w14:paraId="424B74F1">
            <w:pPr>
              <w:pStyle w:val="7"/>
              <w:jc w:val="center"/>
              <w:rPr>
                <w:rFonts w:hAnsi="宋体"/>
                <w:color w:val="000000"/>
              </w:rPr>
            </w:pPr>
          </w:p>
        </w:tc>
      </w:tr>
      <w:tr w14:paraId="7203E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625" w:type="dxa"/>
            <w:vAlign w:val="center"/>
          </w:tcPr>
          <w:p w14:paraId="7564B20E">
            <w:pPr>
              <w:pStyle w:val="7"/>
              <w:jc w:val="center"/>
              <w:rPr>
                <w:rFonts w:hint="eastAsia" w:hAnsi="宋体" w:eastAsia="宋体"/>
                <w:b/>
                <w:color w:val="000000"/>
              </w:rPr>
            </w:pPr>
            <w:r>
              <w:rPr>
                <w:rFonts w:hint="eastAsia" w:hAnsi="宋体" w:eastAsia="宋体"/>
                <w:b/>
                <w:color w:val="000000"/>
              </w:rPr>
              <w:t>4</w:t>
            </w:r>
          </w:p>
        </w:tc>
        <w:tc>
          <w:tcPr>
            <w:tcW w:w="2070" w:type="dxa"/>
            <w:vAlign w:val="center"/>
          </w:tcPr>
          <w:p w14:paraId="7E2DE640">
            <w:pPr>
              <w:pStyle w:val="7"/>
              <w:jc w:val="center"/>
              <w:rPr>
                <w:rFonts w:hAnsi="宋体"/>
                <w:color w:val="000000"/>
              </w:rPr>
            </w:pPr>
          </w:p>
        </w:tc>
        <w:tc>
          <w:tcPr>
            <w:tcW w:w="1875" w:type="dxa"/>
            <w:vAlign w:val="center"/>
          </w:tcPr>
          <w:p w14:paraId="53794CB5">
            <w:pPr>
              <w:pStyle w:val="7"/>
              <w:jc w:val="center"/>
              <w:rPr>
                <w:rFonts w:hAnsi="宋体"/>
                <w:color w:val="000000"/>
              </w:rPr>
            </w:pPr>
          </w:p>
        </w:tc>
        <w:tc>
          <w:tcPr>
            <w:tcW w:w="1665" w:type="dxa"/>
            <w:vAlign w:val="center"/>
          </w:tcPr>
          <w:p w14:paraId="2FA2CFAE">
            <w:pPr>
              <w:pStyle w:val="7"/>
              <w:jc w:val="center"/>
              <w:rPr>
                <w:rFonts w:hAnsi="宋体"/>
                <w:color w:val="000000"/>
              </w:rPr>
            </w:pPr>
          </w:p>
        </w:tc>
        <w:tc>
          <w:tcPr>
            <w:tcW w:w="1672" w:type="dxa"/>
            <w:vAlign w:val="center"/>
          </w:tcPr>
          <w:p w14:paraId="5BD80CC7">
            <w:pPr>
              <w:pStyle w:val="7"/>
              <w:jc w:val="center"/>
              <w:rPr>
                <w:rFonts w:hAnsi="宋体"/>
                <w:color w:val="000000"/>
              </w:rPr>
            </w:pPr>
          </w:p>
        </w:tc>
        <w:tc>
          <w:tcPr>
            <w:tcW w:w="1497" w:type="dxa"/>
            <w:vAlign w:val="center"/>
          </w:tcPr>
          <w:p w14:paraId="4BE166F4">
            <w:pPr>
              <w:pStyle w:val="7"/>
              <w:jc w:val="center"/>
              <w:rPr>
                <w:rFonts w:hAnsi="宋体"/>
                <w:color w:val="000000"/>
              </w:rPr>
            </w:pPr>
          </w:p>
        </w:tc>
      </w:tr>
      <w:tr w14:paraId="1840B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625" w:type="dxa"/>
            <w:vAlign w:val="center"/>
          </w:tcPr>
          <w:p w14:paraId="3405A86F">
            <w:pPr>
              <w:pStyle w:val="7"/>
              <w:jc w:val="center"/>
              <w:rPr>
                <w:rFonts w:hint="eastAsia" w:hAnsi="宋体" w:eastAsia="宋体"/>
                <w:b/>
                <w:color w:val="000000"/>
              </w:rPr>
            </w:pPr>
            <w:r>
              <w:rPr>
                <w:rFonts w:hint="eastAsia" w:hAnsi="宋体" w:eastAsia="宋体"/>
                <w:b/>
                <w:color w:val="000000"/>
              </w:rPr>
              <w:t>5</w:t>
            </w:r>
          </w:p>
        </w:tc>
        <w:tc>
          <w:tcPr>
            <w:tcW w:w="2070" w:type="dxa"/>
            <w:vAlign w:val="center"/>
          </w:tcPr>
          <w:p w14:paraId="4F807C68">
            <w:pPr>
              <w:pStyle w:val="7"/>
              <w:jc w:val="center"/>
              <w:rPr>
                <w:rFonts w:hAnsi="宋体"/>
                <w:color w:val="000000"/>
              </w:rPr>
            </w:pPr>
          </w:p>
        </w:tc>
        <w:tc>
          <w:tcPr>
            <w:tcW w:w="1875" w:type="dxa"/>
            <w:vAlign w:val="center"/>
          </w:tcPr>
          <w:p w14:paraId="67DC7112">
            <w:pPr>
              <w:pStyle w:val="7"/>
              <w:jc w:val="center"/>
              <w:rPr>
                <w:rFonts w:hAnsi="宋体"/>
                <w:color w:val="000000"/>
              </w:rPr>
            </w:pPr>
          </w:p>
        </w:tc>
        <w:tc>
          <w:tcPr>
            <w:tcW w:w="1665" w:type="dxa"/>
            <w:vAlign w:val="center"/>
          </w:tcPr>
          <w:p w14:paraId="0E13FB7D">
            <w:pPr>
              <w:pStyle w:val="7"/>
              <w:jc w:val="center"/>
              <w:rPr>
                <w:rFonts w:hAnsi="宋体"/>
                <w:color w:val="000000"/>
              </w:rPr>
            </w:pPr>
          </w:p>
        </w:tc>
        <w:tc>
          <w:tcPr>
            <w:tcW w:w="1672" w:type="dxa"/>
            <w:vAlign w:val="center"/>
          </w:tcPr>
          <w:p w14:paraId="6FE25779">
            <w:pPr>
              <w:pStyle w:val="7"/>
              <w:jc w:val="center"/>
              <w:rPr>
                <w:rFonts w:hAnsi="宋体"/>
                <w:color w:val="000000"/>
              </w:rPr>
            </w:pPr>
          </w:p>
        </w:tc>
        <w:tc>
          <w:tcPr>
            <w:tcW w:w="1497" w:type="dxa"/>
            <w:vAlign w:val="center"/>
          </w:tcPr>
          <w:p w14:paraId="1E839CDF">
            <w:pPr>
              <w:pStyle w:val="7"/>
              <w:jc w:val="center"/>
              <w:rPr>
                <w:rFonts w:hAnsi="宋体"/>
                <w:color w:val="000000"/>
              </w:rPr>
            </w:pPr>
          </w:p>
        </w:tc>
      </w:tr>
    </w:tbl>
    <w:p w14:paraId="330B5234">
      <w:pPr>
        <w:rPr>
          <w:rFonts w:ascii="宋体"/>
          <w:color w:val="000000"/>
          <w:sz w:val="28"/>
          <w:szCs w:val="28"/>
        </w:rPr>
      </w:pPr>
    </w:p>
    <w:p w14:paraId="21586CB0">
      <w:pPr>
        <w:pStyle w:val="7"/>
        <w:spacing w:line="480" w:lineRule="exact"/>
        <w:rPr>
          <w:rFonts w:hAnsi="宋体"/>
          <w:color w:val="000000"/>
          <w:sz w:val="24"/>
          <w:szCs w:val="24"/>
        </w:rPr>
      </w:pPr>
    </w:p>
    <w:p w14:paraId="49A66A66">
      <w:pPr>
        <w:pStyle w:val="7"/>
        <w:spacing w:line="480" w:lineRule="exact"/>
        <w:rPr>
          <w:rFonts w:hAnsi="宋体"/>
          <w:color w:val="000000"/>
          <w:sz w:val="24"/>
          <w:szCs w:val="24"/>
        </w:rPr>
      </w:pPr>
    </w:p>
    <w:p w14:paraId="2F360FBB">
      <w:pPr>
        <w:pStyle w:val="7"/>
        <w:spacing w:line="480" w:lineRule="exact"/>
        <w:rPr>
          <w:rFonts w:hAnsi="宋体"/>
          <w:color w:val="000000"/>
          <w:sz w:val="24"/>
          <w:szCs w:val="24"/>
        </w:rPr>
      </w:pPr>
    </w:p>
    <w:p w14:paraId="2BC6DFB5">
      <w:pPr>
        <w:pStyle w:val="7"/>
        <w:spacing w:line="480" w:lineRule="exact"/>
        <w:rPr>
          <w:rFonts w:hAnsi="宋体"/>
          <w:color w:val="000000"/>
          <w:sz w:val="24"/>
          <w:szCs w:val="24"/>
        </w:rPr>
      </w:pPr>
    </w:p>
    <w:p w14:paraId="2EAEE3F4">
      <w:pPr>
        <w:pStyle w:val="7"/>
        <w:spacing w:line="480" w:lineRule="exact"/>
        <w:rPr>
          <w:rFonts w:hAnsi="宋体"/>
          <w:color w:val="000000"/>
          <w:sz w:val="24"/>
          <w:szCs w:val="24"/>
        </w:rPr>
      </w:pPr>
    </w:p>
    <w:p w14:paraId="03CA8DD2">
      <w:pPr>
        <w:pStyle w:val="7"/>
        <w:spacing w:line="480" w:lineRule="exact"/>
        <w:rPr>
          <w:rFonts w:hAnsi="宋体"/>
          <w:color w:val="000000"/>
          <w:sz w:val="24"/>
          <w:szCs w:val="24"/>
        </w:rPr>
      </w:pPr>
    </w:p>
    <w:p w14:paraId="274B0F3D">
      <w:pPr>
        <w:pStyle w:val="7"/>
        <w:spacing w:line="480" w:lineRule="exact"/>
        <w:rPr>
          <w:rFonts w:hAnsi="宋体"/>
          <w:color w:val="000000"/>
          <w:sz w:val="24"/>
          <w:szCs w:val="24"/>
        </w:rPr>
      </w:pPr>
    </w:p>
    <w:p w14:paraId="3CDE7A31">
      <w:pPr>
        <w:pStyle w:val="7"/>
        <w:spacing w:line="480" w:lineRule="exact"/>
        <w:rPr>
          <w:rFonts w:hAnsi="宋体"/>
          <w:color w:val="000000"/>
          <w:sz w:val="24"/>
          <w:szCs w:val="24"/>
        </w:rPr>
      </w:pPr>
    </w:p>
    <w:p w14:paraId="3D65FE43">
      <w:pPr>
        <w:pStyle w:val="7"/>
        <w:spacing w:line="480" w:lineRule="exact"/>
        <w:rPr>
          <w:rFonts w:hAnsi="宋体"/>
          <w:color w:val="000000"/>
          <w:sz w:val="24"/>
          <w:szCs w:val="24"/>
        </w:rPr>
      </w:pPr>
    </w:p>
    <w:p w14:paraId="09950FEB">
      <w:pPr>
        <w:pStyle w:val="7"/>
        <w:spacing w:line="480" w:lineRule="exact"/>
        <w:rPr>
          <w:rFonts w:hAnsi="宋体"/>
          <w:color w:val="000000"/>
          <w:sz w:val="24"/>
          <w:szCs w:val="24"/>
        </w:rPr>
      </w:pPr>
    </w:p>
    <w:p w14:paraId="796AEAFE">
      <w:pPr>
        <w:pStyle w:val="7"/>
        <w:spacing w:line="480" w:lineRule="exact"/>
        <w:ind w:left="4476" w:leftChars="798" w:hanging="2800" w:hangingChars="1000"/>
        <w:rPr>
          <w:rFonts w:hAnsi="宋体"/>
          <w:b/>
          <w:color w:val="000000"/>
          <w:sz w:val="28"/>
          <w:szCs w:val="28"/>
        </w:rPr>
      </w:pPr>
      <w:r>
        <w:rPr>
          <w:rFonts w:hint="eastAsia" w:hAnsi="宋体"/>
          <w:color w:val="000000"/>
          <w:sz w:val="28"/>
          <w:szCs w:val="28"/>
        </w:rPr>
        <w:t>附：上述项目须提供服务合同复印件</w:t>
      </w:r>
      <w:r>
        <w:rPr>
          <w:rFonts w:hint="eastAsia" w:hAnsi="宋体"/>
          <w:bCs/>
          <w:color w:val="000000"/>
          <w:sz w:val="28"/>
          <w:szCs w:val="28"/>
        </w:rPr>
        <w:t>且</w:t>
      </w:r>
      <w:r>
        <w:rPr>
          <w:rFonts w:hint="eastAsia" w:hAnsi="宋体"/>
          <w:color w:val="000000"/>
          <w:sz w:val="28"/>
          <w:szCs w:val="28"/>
        </w:rPr>
        <w:t>加盖鲜章</w:t>
      </w:r>
      <w:r>
        <w:rPr>
          <w:rFonts w:hAnsi="宋体"/>
          <w:color w:val="000000"/>
          <w:sz w:val="28"/>
          <w:szCs w:val="28"/>
        </w:rPr>
        <w:t>(</w:t>
      </w:r>
      <w:r>
        <w:rPr>
          <w:rFonts w:hint="eastAsia" w:hAnsi="宋体"/>
          <w:color w:val="000000"/>
          <w:sz w:val="28"/>
          <w:szCs w:val="28"/>
        </w:rPr>
        <w:t>原件备查</w:t>
      </w:r>
      <w:r>
        <w:rPr>
          <w:rFonts w:hAnsi="宋体"/>
          <w:color w:val="000000"/>
          <w:sz w:val="28"/>
          <w:szCs w:val="28"/>
        </w:rPr>
        <w:t>)</w:t>
      </w:r>
      <w:r>
        <w:rPr>
          <w:rFonts w:hint="eastAsia" w:hAnsi="宋体"/>
          <w:color w:val="000000"/>
          <w:sz w:val="28"/>
          <w:szCs w:val="28"/>
        </w:rPr>
        <w:t>。</w:t>
      </w:r>
      <w:r>
        <w:rPr>
          <w:rFonts w:hAnsi="宋体"/>
          <w:b/>
          <w:color w:val="000000"/>
          <w:sz w:val="28"/>
          <w:szCs w:val="28"/>
        </w:rPr>
        <w:t xml:space="preserve">                        </w:t>
      </w:r>
      <w:r>
        <w:rPr>
          <w:rFonts w:hint="eastAsia" w:hAnsi="宋体"/>
          <w:b/>
          <w:color w:val="000000"/>
          <w:sz w:val="28"/>
          <w:szCs w:val="28"/>
        </w:rPr>
        <w:t xml:space="preserve">  </w:t>
      </w:r>
      <w:r>
        <w:rPr>
          <w:rFonts w:hAnsi="宋体"/>
          <w:b/>
          <w:color w:val="000000"/>
          <w:sz w:val="28"/>
          <w:szCs w:val="28"/>
        </w:rPr>
        <w:t xml:space="preserve">  </w:t>
      </w:r>
      <w:r>
        <w:rPr>
          <w:rFonts w:hint="eastAsia" w:hAnsi="宋体"/>
          <w:b/>
          <w:color w:val="000000"/>
          <w:sz w:val="28"/>
          <w:szCs w:val="28"/>
        </w:rPr>
        <w:t xml:space="preserve">           </w:t>
      </w:r>
      <w:r>
        <w:rPr>
          <w:rFonts w:hint="eastAsia" w:hAnsi="宋体" w:eastAsia="宋体"/>
          <w:b/>
          <w:color w:val="000000"/>
          <w:sz w:val="28"/>
          <w:szCs w:val="28"/>
        </w:rPr>
        <w:t xml:space="preserve">                   </w:t>
      </w:r>
      <w:r>
        <w:rPr>
          <w:rFonts w:hint="eastAsia" w:hAnsi="宋体"/>
          <w:b/>
          <w:color w:val="000000"/>
          <w:sz w:val="28"/>
          <w:szCs w:val="28"/>
        </w:rPr>
        <w:t xml:space="preserve">         </w:t>
      </w:r>
      <w:r>
        <w:rPr>
          <w:rFonts w:hint="eastAsia" w:hAnsi="宋体" w:eastAsia="宋体"/>
          <w:b/>
          <w:color w:val="000000"/>
          <w:sz w:val="28"/>
          <w:szCs w:val="28"/>
        </w:rPr>
        <w:t>参选人</w:t>
      </w:r>
      <w:r>
        <w:rPr>
          <w:rFonts w:hAnsi="宋体"/>
          <w:b/>
          <w:color w:val="000000"/>
          <w:sz w:val="28"/>
          <w:szCs w:val="28"/>
        </w:rPr>
        <w:t>（盖章）</w:t>
      </w:r>
    </w:p>
    <w:p w14:paraId="5E721D38">
      <w:pPr>
        <w:spacing w:line="440" w:lineRule="exact"/>
        <w:ind w:right="980" w:firstLine="8124" w:firstLineChars="2890"/>
        <w:jc w:val="right"/>
        <w:rPr>
          <w:rFonts w:hint="eastAsia" w:ascii="宋体" w:hAnsi="宋体"/>
          <w:b/>
          <w:color w:val="000000"/>
          <w:sz w:val="28"/>
          <w:szCs w:val="28"/>
        </w:rPr>
      </w:pPr>
      <w:r>
        <w:rPr>
          <w:rFonts w:hint="eastAsia" w:ascii="宋体" w:hAnsi="宋体"/>
          <w:b/>
          <w:color w:val="000000"/>
          <w:sz w:val="28"/>
          <w:szCs w:val="28"/>
        </w:rPr>
        <w:t xml:space="preserve"> </w:t>
      </w:r>
      <w:r>
        <w:rPr>
          <w:rFonts w:ascii="宋体" w:hAnsi="宋体"/>
          <w:b/>
          <w:color w:val="000000"/>
          <w:sz w:val="28"/>
          <w:szCs w:val="28"/>
        </w:rPr>
        <w:t>法定代表人或代理人（签字）</w:t>
      </w:r>
      <w:r>
        <w:rPr>
          <w:rFonts w:hint="eastAsia" w:ascii="宋体" w:hAnsi="宋体"/>
          <w:b/>
          <w:color w:val="000000"/>
          <w:sz w:val="28"/>
          <w:szCs w:val="28"/>
        </w:rPr>
        <w:t xml:space="preserve">     </w:t>
      </w:r>
    </w:p>
    <w:p w14:paraId="0833B67E">
      <w:pPr>
        <w:spacing w:line="440" w:lineRule="exact"/>
        <w:ind w:right="980" w:firstLine="8124" w:firstLineChars="2890"/>
        <w:jc w:val="right"/>
        <w:rPr>
          <w:rFonts w:hint="eastAsia" w:ascii="宋体" w:hAnsi="宋体"/>
          <w:b/>
          <w:color w:val="000000"/>
          <w:sz w:val="28"/>
          <w:szCs w:val="28"/>
        </w:rPr>
      </w:pPr>
    </w:p>
    <w:p w14:paraId="6088D5D2">
      <w:pPr>
        <w:spacing w:line="440" w:lineRule="exact"/>
        <w:ind w:right="980"/>
        <w:rPr>
          <w:rFonts w:hint="eastAsia" w:ascii="宋体" w:hAnsi="宋体" w:eastAsia="宋体" w:cs="宋体"/>
          <w:kern w:val="0"/>
          <w:szCs w:val="21"/>
          <w:lang w:val="en-US" w:eastAsia="zh-CN"/>
        </w:rPr>
      </w:pPr>
      <w:r>
        <w:rPr>
          <w:rFonts w:hint="eastAsia" w:ascii="宋体" w:hAnsi="宋体" w:cs="宋体"/>
          <w:b/>
          <w:sz w:val="28"/>
          <w:szCs w:val="28"/>
        </w:rPr>
        <w:t>附件</w:t>
      </w:r>
      <w:r>
        <w:rPr>
          <w:rFonts w:hint="eastAsia" w:ascii="宋体" w:hAnsi="宋体" w:cs="宋体"/>
          <w:b/>
          <w:sz w:val="28"/>
          <w:szCs w:val="28"/>
          <w:lang w:val="en-US" w:eastAsia="zh-CN"/>
        </w:rPr>
        <w:t>7</w:t>
      </w:r>
    </w:p>
    <w:p w14:paraId="17999D67">
      <w:pPr>
        <w:spacing w:line="360" w:lineRule="auto"/>
        <w:jc w:val="center"/>
        <w:rPr>
          <w:rFonts w:hint="eastAsia" w:ascii="宋体" w:hAnsi="宋体" w:cs="宋体"/>
          <w:sz w:val="28"/>
          <w:szCs w:val="28"/>
          <w:u w:val="single"/>
        </w:rPr>
      </w:pPr>
      <w:r>
        <w:rPr>
          <w:rFonts w:hint="eastAsia" w:ascii="宋体" w:hAnsi="宋体" w:cs="宋体"/>
          <w:b/>
          <w:sz w:val="28"/>
          <w:szCs w:val="28"/>
        </w:rPr>
        <w:t>渝开发2024年年度市场监测咨询服务合同</w:t>
      </w:r>
    </w:p>
    <w:p w14:paraId="4EA69E2C">
      <w:pPr>
        <w:spacing w:line="360" w:lineRule="auto"/>
        <w:ind w:firstLine="281" w:firstLineChars="100"/>
        <w:rPr>
          <w:rFonts w:hint="eastAsia" w:ascii="宋体" w:hAnsi="宋体" w:cs="宋体"/>
          <w:b/>
          <w:sz w:val="28"/>
          <w:szCs w:val="28"/>
        </w:rPr>
      </w:pPr>
      <w:r>
        <w:rPr>
          <w:rFonts w:hint="eastAsia" w:ascii="宋体" w:hAnsi="宋体" w:cs="宋体"/>
          <w:b/>
          <w:sz w:val="28"/>
          <w:szCs w:val="28"/>
        </w:rPr>
        <w:t>甲方：重庆渝开发股份有限公司</w:t>
      </w:r>
    </w:p>
    <w:p w14:paraId="326F5163">
      <w:pPr>
        <w:spacing w:line="360" w:lineRule="auto"/>
        <w:ind w:firstLine="281" w:firstLineChars="100"/>
        <w:rPr>
          <w:rFonts w:hint="eastAsia" w:ascii="宋体" w:hAnsi="宋体" w:cs="宋体"/>
          <w:sz w:val="28"/>
          <w:szCs w:val="28"/>
        </w:rPr>
      </w:pPr>
      <w:r>
        <w:rPr>
          <w:rFonts w:hint="eastAsia" w:ascii="宋体" w:hAnsi="宋体" w:cs="宋体"/>
          <w:b/>
          <w:sz w:val="28"/>
          <w:szCs w:val="28"/>
        </w:rPr>
        <w:t>乙方：</w:t>
      </w:r>
    </w:p>
    <w:p w14:paraId="35E6F840">
      <w:pPr>
        <w:pStyle w:val="5"/>
        <w:spacing w:line="360" w:lineRule="auto"/>
        <w:ind w:firstLine="560" w:firstLineChars="200"/>
        <w:jc w:val="both"/>
        <w:rPr>
          <w:rFonts w:hint="eastAsia" w:ascii="宋体" w:hAnsi="宋体" w:cs="宋体"/>
          <w:sz w:val="28"/>
          <w:szCs w:val="28"/>
        </w:rPr>
      </w:pPr>
      <w:r>
        <w:rPr>
          <w:rFonts w:hint="eastAsia" w:ascii="宋体" w:hAnsi="宋体" w:cs="宋体"/>
          <w:sz w:val="28"/>
          <w:szCs w:val="28"/>
        </w:rPr>
        <w:t>根据《</w:t>
      </w:r>
      <w:r>
        <w:rPr>
          <w:rFonts w:ascii="Arial" w:hAnsi="Arial" w:cs="Arial"/>
          <w:sz w:val="28"/>
          <w:szCs w:val="28"/>
          <w:shd w:val="clear" w:color="auto" w:fill="FFFFFF"/>
        </w:rPr>
        <w:t>中华人民共和国民法典</w:t>
      </w:r>
      <w:r>
        <w:rPr>
          <w:rFonts w:hint="eastAsia" w:ascii="宋体" w:hAnsi="宋体" w:cs="宋体"/>
          <w:sz w:val="28"/>
          <w:szCs w:val="28"/>
        </w:rPr>
        <w:t xml:space="preserve">》及相关法律、法规规定，甲、乙双方在公平、平等及自愿的前提下，就乙方向甲方有偿提供市场研究服务事宜达成一致，以资信守： </w:t>
      </w:r>
    </w:p>
    <w:p w14:paraId="24B52F05">
      <w:pPr>
        <w:widowControl/>
        <w:spacing w:before="312" w:line="360" w:lineRule="auto"/>
        <w:rPr>
          <w:rFonts w:hint="eastAsia" w:ascii="宋体" w:hAnsi="宋体" w:cs="宋体"/>
          <w:b/>
          <w:kern w:val="0"/>
          <w:sz w:val="28"/>
          <w:szCs w:val="28"/>
        </w:rPr>
      </w:pPr>
      <w:r>
        <w:rPr>
          <w:rFonts w:hint="eastAsia" w:ascii="宋体" w:hAnsi="宋体" w:cs="宋体"/>
          <w:b/>
          <w:kern w:val="0"/>
          <w:sz w:val="28"/>
          <w:szCs w:val="28"/>
        </w:rPr>
        <w:t>一、服务内容</w:t>
      </w:r>
    </w:p>
    <w:p w14:paraId="7239317C">
      <w:pPr>
        <w:spacing w:line="360" w:lineRule="auto"/>
        <w:rPr>
          <w:rFonts w:hint="eastAsia" w:ascii="宋体" w:hAnsi="宋体" w:cs="宋体"/>
          <w:sz w:val="28"/>
          <w:szCs w:val="28"/>
        </w:rPr>
      </w:pPr>
      <w:r>
        <w:rPr>
          <w:rFonts w:hint="eastAsia" w:ascii="宋体" w:hAnsi="宋体" w:cs="宋体"/>
          <w:sz w:val="28"/>
          <w:szCs w:val="28"/>
        </w:rPr>
        <w:t xml:space="preserve">   1、重庆市主城区常规市场服务，包括：土地市场、商品房市场、比选人在售（待售）项目基本服务（包括但不限于贯金和府、南樾天宸、山与城、星河博棠）的市场跟踪。</w:t>
      </w:r>
    </w:p>
    <w:p w14:paraId="7850E74A">
      <w:pPr>
        <w:spacing w:line="360" w:lineRule="auto"/>
        <w:rPr>
          <w:rFonts w:hint="eastAsia" w:ascii="宋体" w:hAnsi="宋体" w:cs="宋体"/>
          <w:sz w:val="28"/>
          <w:szCs w:val="28"/>
        </w:rPr>
      </w:pPr>
      <w:r>
        <w:rPr>
          <w:rFonts w:hint="eastAsia" w:ascii="宋体" w:hAnsi="宋体" w:cs="宋体"/>
          <w:kern w:val="0"/>
          <w:sz w:val="28"/>
          <w:szCs w:val="28"/>
        </w:rPr>
        <w:t xml:space="preserve">    2、</w:t>
      </w:r>
      <w:r>
        <w:rPr>
          <w:rFonts w:hint="eastAsia" w:ascii="宋体" w:hAnsi="宋体" w:cs="宋体"/>
          <w:sz w:val="28"/>
          <w:szCs w:val="28"/>
        </w:rPr>
        <w:t>重庆市主城区二手房市场数据查询、车位市场数据查询；</w:t>
      </w:r>
    </w:p>
    <w:p w14:paraId="685E936C">
      <w:pPr>
        <w:spacing w:line="360" w:lineRule="auto"/>
        <w:ind w:firstLine="560"/>
        <w:rPr>
          <w:rFonts w:hint="eastAsia" w:ascii="宋体" w:hAnsi="宋体" w:cs="宋体"/>
          <w:sz w:val="28"/>
          <w:szCs w:val="28"/>
        </w:rPr>
      </w:pPr>
      <w:r>
        <w:rPr>
          <w:rFonts w:hint="eastAsia" w:ascii="宋体" w:hAnsi="宋体" w:cs="宋体"/>
          <w:sz w:val="28"/>
          <w:szCs w:val="28"/>
        </w:rPr>
        <w:t>3、重庆市范围内房地产数据及经济指标数据查询（不包括专题报告，若需要提供城市进驻或专项市场报告，双方可另行商议）；</w:t>
      </w:r>
    </w:p>
    <w:p w14:paraId="4A88D20E">
      <w:pPr>
        <w:spacing w:line="360" w:lineRule="auto"/>
        <w:ind w:firstLine="565" w:firstLineChars="202"/>
        <w:rPr>
          <w:rFonts w:hint="eastAsia" w:ascii="宋体" w:hAnsi="宋体" w:cs="宋体"/>
          <w:sz w:val="28"/>
          <w:szCs w:val="28"/>
        </w:rPr>
      </w:pPr>
      <w:r>
        <w:rPr>
          <w:rFonts w:hint="eastAsia" w:ascii="宋体" w:hAnsi="宋体" w:cs="宋体"/>
          <w:sz w:val="28"/>
          <w:szCs w:val="28"/>
        </w:rPr>
        <w:t>4、数据查询维度包含：区域、项目、组团、价格、面积、业态、房型等</w:t>
      </w:r>
    </w:p>
    <w:p w14:paraId="651DBD5A">
      <w:pPr>
        <w:spacing w:line="360" w:lineRule="auto"/>
        <w:rPr>
          <w:rFonts w:hint="eastAsia" w:ascii="宋体" w:hAnsi="宋体" w:cs="宋体"/>
          <w:sz w:val="28"/>
          <w:szCs w:val="28"/>
        </w:rPr>
      </w:pPr>
      <w:r>
        <w:rPr>
          <w:rFonts w:hint="eastAsia" w:ascii="宋体" w:hAnsi="宋体" w:cs="宋体"/>
          <w:sz w:val="28"/>
          <w:szCs w:val="28"/>
        </w:rPr>
        <w:t xml:space="preserve">    5、根据比选人需求，提供重庆市主城区以外区域（含重庆区县及市外城市）满足可行性分析需求的土地、商品房市场数据咨询服务；针对比选人进入可研阶段的项目，提供满足比选人土地获取类项目可研报告模板深度要求的市场分析部分内容；数据类服务，应包含土地、商品房市场的各业态历年数据，历史变化趋势及未来一定时限内的变动预测，最好能按项目按需提供租赁市场数据；土地集中供地信息方面，应在正式公告前提供年度及每批次土地集中供地信息。</w:t>
      </w:r>
    </w:p>
    <w:p w14:paraId="03DDB513">
      <w:pPr>
        <w:pStyle w:val="11"/>
        <w:ind w:firstLine="560"/>
      </w:pPr>
    </w:p>
    <w:p w14:paraId="6DD3D15C">
      <w:pPr>
        <w:spacing w:line="360" w:lineRule="auto"/>
        <w:rPr>
          <w:rFonts w:hint="eastAsia" w:ascii="宋体" w:hAnsi="宋体" w:cs="宋体"/>
          <w:kern w:val="0"/>
          <w:sz w:val="28"/>
          <w:szCs w:val="28"/>
        </w:rPr>
      </w:pPr>
      <w:r>
        <w:rPr>
          <w:rFonts w:hint="eastAsia" w:ascii="宋体" w:hAnsi="宋体" w:cs="宋体"/>
          <w:sz w:val="28"/>
          <w:szCs w:val="28"/>
        </w:rPr>
        <w:t xml:space="preserve">    6、</w:t>
      </w:r>
      <w:r>
        <w:rPr>
          <w:rFonts w:hint="eastAsia" w:ascii="宋体" w:hAnsi="宋体" w:cs="宋体"/>
          <w:kern w:val="0"/>
          <w:sz w:val="28"/>
          <w:szCs w:val="28"/>
        </w:rPr>
        <w:t>成果要求</w:t>
      </w:r>
    </w:p>
    <w:p w14:paraId="2E01637A">
      <w:pPr>
        <w:spacing w:line="360" w:lineRule="auto"/>
        <w:rPr>
          <w:rFonts w:hint="eastAsia" w:ascii="宋体" w:hAnsi="宋体" w:cs="宋体"/>
          <w:sz w:val="28"/>
          <w:szCs w:val="28"/>
        </w:rPr>
      </w:pPr>
      <w:r>
        <w:rPr>
          <w:rFonts w:hint="eastAsia" w:ascii="宋体" w:hAnsi="宋体" w:cs="宋体"/>
          <w:sz w:val="28"/>
          <w:szCs w:val="28"/>
        </w:rPr>
        <w:t xml:space="preserve">   按期提交周报告、月报、季度报、半年报和年报报告（以PPT格式及邮箱方式提交）；</w:t>
      </w:r>
    </w:p>
    <w:p w14:paraId="24F584ED">
      <w:pPr>
        <w:spacing w:line="360" w:lineRule="auto"/>
        <w:rPr>
          <w:rFonts w:hint="eastAsia" w:ascii="方正仿宋_GBK" w:hAnsi="方正仿宋_GBK" w:eastAsia="方正仿宋_GBK" w:cs="方正仿宋_GBK"/>
          <w:b/>
          <w:bCs/>
          <w:sz w:val="28"/>
          <w:szCs w:val="28"/>
        </w:rPr>
      </w:pPr>
      <w:r>
        <w:rPr>
          <w:rFonts w:hint="eastAsia" w:ascii="宋体" w:hAnsi="宋体" w:cs="宋体"/>
          <w:sz w:val="28"/>
          <w:szCs w:val="28"/>
        </w:rPr>
        <w:t xml:space="preserve">    7、增值服务</w:t>
      </w:r>
    </w:p>
    <w:p w14:paraId="6B3DD925">
      <w:pPr>
        <w:spacing w:line="360" w:lineRule="auto"/>
        <w:rPr>
          <w:rFonts w:hint="eastAsia" w:ascii="宋体" w:hAnsi="宋体" w:cs="宋体"/>
          <w:sz w:val="28"/>
          <w:szCs w:val="28"/>
        </w:rPr>
      </w:pPr>
      <w:r>
        <w:rPr>
          <w:rFonts w:hint="eastAsia" w:ascii="宋体" w:hAnsi="宋体" w:cs="宋体"/>
          <w:sz w:val="28"/>
          <w:szCs w:val="28"/>
        </w:rPr>
        <w:t xml:space="preserve">    7.1合作期间提供数据库账号5个，方便比选人登陆系统自行查询数据。</w:t>
      </w:r>
    </w:p>
    <w:p w14:paraId="482C21FC">
      <w:pPr>
        <w:pStyle w:val="11"/>
        <w:spacing w:line="360" w:lineRule="auto"/>
        <w:rPr>
          <w:rFonts w:hint="eastAsia" w:ascii="宋体" w:hAnsi="宋体" w:cs="宋体"/>
          <w:sz w:val="28"/>
          <w:szCs w:val="28"/>
        </w:rPr>
      </w:pPr>
      <w:r>
        <w:rPr>
          <w:rFonts w:hint="eastAsia" w:ascii="宋体" w:hAnsi="宋体" w:cs="宋体"/>
          <w:b w:val="0"/>
          <w:bCs w:val="0"/>
          <w:sz w:val="28"/>
          <w:szCs w:val="28"/>
        </w:rPr>
        <w:t xml:space="preserve">    7.2合作期间提供专属管家一对一式服务，</w:t>
      </w:r>
      <w:r>
        <w:rPr>
          <w:rFonts w:hint="eastAsia" w:ascii="宋体" w:hAnsi="宋体" w:cs="宋体"/>
          <w:b w:val="0"/>
          <w:kern w:val="0"/>
          <w:sz w:val="28"/>
          <w:szCs w:val="28"/>
          <w:lang w:bidi="ar"/>
        </w:rPr>
        <w:t>根据实际工作需求，由比选人向中选人的管家团队提出数据服务内容。</w:t>
      </w:r>
    </w:p>
    <w:p w14:paraId="3DBECFFA">
      <w:pPr>
        <w:spacing w:line="360" w:lineRule="auto"/>
        <w:ind w:firstLine="560"/>
        <w:rPr>
          <w:rFonts w:hint="eastAsia" w:ascii="宋体" w:hAnsi="宋体" w:cs="宋体"/>
          <w:sz w:val="28"/>
          <w:szCs w:val="28"/>
        </w:rPr>
      </w:pPr>
      <w:r>
        <w:rPr>
          <w:rFonts w:hint="eastAsia" w:ascii="宋体" w:hAnsi="宋体" w:cs="宋体"/>
          <w:sz w:val="28"/>
          <w:szCs w:val="28"/>
        </w:rPr>
        <w:t>7.3按月度、季度、半年、年度分别为比选人专属定制重庆房地产市场动态报告,每期9本。</w:t>
      </w:r>
    </w:p>
    <w:p w14:paraId="522533D5">
      <w:pPr>
        <w:pStyle w:val="18"/>
        <w:spacing w:line="360" w:lineRule="auto"/>
        <w:ind w:firstLine="560"/>
        <w:rPr>
          <w:rFonts w:hint="eastAsia" w:ascii="宋体" w:hAnsi="宋体"/>
          <w:sz w:val="28"/>
          <w:szCs w:val="28"/>
        </w:rPr>
      </w:pPr>
      <w:r>
        <w:rPr>
          <w:rFonts w:hint="eastAsia" w:ascii="宋体" w:hAnsi="宋体"/>
          <w:sz w:val="28"/>
          <w:szCs w:val="28"/>
        </w:rPr>
        <w:t>8、按照甲方的需求，在甲方需要对比选人提供的资料进行盖章时，比选人需要在24小时内对甲方需求的资料进行盖章。</w:t>
      </w:r>
    </w:p>
    <w:p w14:paraId="5EE0D81A">
      <w:pPr>
        <w:pStyle w:val="18"/>
        <w:spacing w:line="360" w:lineRule="auto"/>
        <w:ind w:firstLine="560"/>
        <w:rPr>
          <w:rFonts w:hint="eastAsia" w:ascii="宋体" w:hAnsi="宋体"/>
          <w:sz w:val="28"/>
          <w:szCs w:val="28"/>
        </w:rPr>
      </w:pPr>
      <w:r>
        <w:rPr>
          <w:rFonts w:hint="eastAsia" w:ascii="宋体" w:hAnsi="宋体"/>
          <w:sz w:val="28"/>
          <w:szCs w:val="28"/>
        </w:rPr>
        <w:t>具体工作服务内容详见附件。</w:t>
      </w:r>
    </w:p>
    <w:p w14:paraId="567D3A03">
      <w:pPr>
        <w:pStyle w:val="5"/>
        <w:spacing w:line="360" w:lineRule="auto"/>
        <w:jc w:val="both"/>
        <w:rPr>
          <w:rFonts w:hint="eastAsia" w:ascii="宋体" w:hAnsi="宋体" w:cs="宋体"/>
          <w:b/>
          <w:bCs/>
          <w:sz w:val="28"/>
          <w:szCs w:val="28"/>
        </w:rPr>
      </w:pPr>
      <w:r>
        <w:rPr>
          <w:rFonts w:hint="eastAsia" w:ascii="宋体" w:hAnsi="宋体" w:cs="宋体"/>
          <w:sz w:val="28"/>
          <w:szCs w:val="28"/>
        </w:rPr>
        <w:t>二、</w:t>
      </w:r>
      <w:r>
        <w:rPr>
          <w:rFonts w:hint="eastAsia" w:ascii="宋体" w:hAnsi="宋体" w:cs="宋体"/>
          <w:b/>
          <w:bCs/>
          <w:sz w:val="28"/>
          <w:szCs w:val="28"/>
        </w:rPr>
        <w:t>服务时间</w:t>
      </w:r>
    </w:p>
    <w:p w14:paraId="24D1848A">
      <w:pPr>
        <w:pStyle w:val="5"/>
        <w:spacing w:line="560" w:lineRule="exact"/>
        <w:jc w:val="both"/>
        <w:rPr>
          <w:rFonts w:hint="eastAsia" w:ascii="宋体" w:hAnsi="宋体" w:cs="宋体"/>
          <w:sz w:val="28"/>
          <w:szCs w:val="28"/>
        </w:rPr>
      </w:pPr>
      <w:r>
        <w:rPr>
          <w:rFonts w:hint="eastAsia" w:ascii="方正仿宋_GBK" w:hAnsi="方正仿宋_GBK" w:eastAsia="方正仿宋_GBK" w:cs="方正仿宋_GBK"/>
          <w:sz w:val="32"/>
          <w:szCs w:val="32"/>
        </w:rPr>
        <w:t xml:space="preserve">   </w:t>
      </w:r>
      <w:r>
        <w:rPr>
          <w:rFonts w:hint="eastAsia" w:ascii="宋体" w:hAnsi="宋体" w:cs="宋体"/>
          <w:sz w:val="28"/>
          <w:szCs w:val="28"/>
        </w:rPr>
        <w:t>自本合同盖章之日起生效，服务时间暂定为1年， 起始时间以双方签订合同时间为准。</w:t>
      </w:r>
    </w:p>
    <w:p w14:paraId="23B11D96">
      <w:pPr>
        <w:pStyle w:val="5"/>
        <w:spacing w:line="360" w:lineRule="auto"/>
        <w:ind w:firstLine="562"/>
        <w:jc w:val="both"/>
        <w:rPr>
          <w:rFonts w:hint="eastAsia" w:ascii="宋体" w:hAnsi="宋体" w:cs="宋体"/>
          <w:sz w:val="28"/>
          <w:szCs w:val="28"/>
        </w:rPr>
      </w:pPr>
      <w:r>
        <w:rPr>
          <w:rFonts w:hint="eastAsia" w:ascii="宋体" w:hAnsi="宋体" w:cs="宋体"/>
          <w:sz w:val="28"/>
          <w:szCs w:val="28"/>
          <w:u w:val="single"/>
        </w:rPr>
        <w:t>若合同到期后，甲方需继续使用本服务，在服务期限到期前1个月内待甲方评估后再确定是否续签服务协议。</w:t>
      </w:r>
    </w:p>
    <w:p w14:paraId="166AA998">
      <w:pPr>
        <w:widowControl/>
        <w:spacing w:before="312" w:line="360" w:lineRule="auto"/>
        <w:rPr>
          <w:rFonts w:hint="eastAsia" w:ascii="宋体" w:hAnsi="宋体" w:cs="宋体"/>
          <w:b/>
          <w:kern w:val="0"/>
          <w:sz w:val="28"/>
          <w:szCs w:val="28"/>
        </w:rPr>
      </w:pPr>
      <w:r>
        <w:rPr>
          <w:rFonts w:hint="eastAsia" w:ascii="宋体" w:hAnsi="宋体" w:cs="宋体"/>
          <w:b/>
          <w:kern w:val="0"/>
          <w:sz w:val="28"/>
          <w:szCs w:val="28"/>
        </w:rPr>
        <w:t>三、 服务成果</w:t>
      </w:r>
    </w:p>
    <w:p w14:paraId="3F735ED7">
      <w:pPr>
        <w:spacing w:line="360" w:lineRule="auto"/>
        <w:ind w:firstLine="560" w:firstLineChars="200"/>
        <w:rPr>
          <w:rFonts w:hint="eastAsia" w:ascii="宋体" w:hAnsi="宋体" w:cs="宋体"/>
          <w:sz w:val="28"/>
          <w:szCs w:val="28"/>
        </w:rPr>
      </w:pPr>
      <w:r>
        <w:rPr>
          <w:rFonts w:hint="eastAsia" w:ascii="宋体" w:hAnsi="宋体" w:cs="宋体"/>
          <w:sz w:val="28"/>
          <w:szCs w:val="28"/>
        </w:rPr>
        <w:t>1、周报告：乙方应于每周星期一下午2点钟之前提交上周市场周报；</w:t>
      </w:r>
    </w:p>
    <w:p w14:paraId="4CB16F24">
      <w:pPr>
        <w:spacing w:line="360" w:lineRule="auto"/>
        <w:ind w:firstLine="560" w:firstLineChars="200"/>
        <w:rPr>
          <w:rFonts w:hint="eastAsia" w:ascii="宋体" w:hAnsi="宋体" w:cs="宋体"/>
          <w:sz w:val="28"/>
          <w:szCs w:val="28"/>
        </w:rPr>
      </w:pPr>
      <w:r>
        <w:rPr>
          <w:rFonts w:hint="eastAsia" w:ascii="宋体" w:hAnsi="宋体" w:cs="宋体"/>
          <w:sz w:val="28"/>
          <w:szCs w:val="28"/>
        </w:rPr>
        <w:t>2、月报、季度报、半年报和年报报告：乙方应于每月10日前、每季度第一个月10日前、7月20日前、次年第一个月20日前分别提供月度报告、季度报告、半年报告和年度报告（印刷品纸质版顺延5天）。</w:t>
      </w:r>
    </w:p>
    <w:p w14:paraId="3055B3AD">
      <w:pPr>
        <w:spacing w:line="360" w:lineRule="auto"/>
        <w:ind w:firstLine="560" w:firstLineChars="200"/>
        <w:rPr>
          <w:rFonts w:hint="eastAsia" w:ascii="宋体" w:hAnsi="宋体" w:cs="宋体"/>
          <w:sz w:val="28"/>
          <w:szCs w:val="28"/>
        </w:rPr>
      </w:pPr>
      <w:r>
        <w:rPr>
          <w:rFonts w:hint="eastAsia" w:ascii="宋体" w:hAnsi="宋体" w:cs="宋体"/>
          <w:sz w:val="28"/>
          <w:szCs w:val="28"/>
        </w:rPr>
        <w:t>3、重点跟踪调查楼盘的重要活动或新闻事件，则采用三个工作日内即时以邮件通报的方式。</w:t>
      </w:r>
    </w:p>
    <w:p w14:paraId="27D4A33B">
      <w:pPr>
        <w:spacing w:line="360" w:lineRule="auto"/>
        <w:ind w:firstLine="560" w:firstLineChars="200"/>
        <w:rPr>
          <w:rFonts w:hint="eastAsia" w:ascii="宋体" w:hAnsi="宋体" w:cs="宋体"/>
          <w:sz w:val="28"/>
          <w:szCs w:val="28"/>
        </w:rPr>
      </w:pPr>
      <w:r>
        <w:rPr>
          <w:rFonts w:hint="eastAsia" w:ascii="宋体" w:hAnsi="宋体" w:cs="宋体"/>
          <w:sz w:val="28"/>
          <w:szCs w:val="28"/>
        </w:rPr>
        <w:t>4、其他服务成果提交时间以甲方要求时间为准。</w:t>
      </w:r>
    </w:p>
    <w:p w14:paraId="1A66CEF3">
      <w:pPr>
        <w:spacing w:line="360" w:lineRule="auto"/>
        <w:ind w:firstLine="560"/>
      </w:pPr>
      <w:r>
        <w:rPr>
          <w:rFonts w:hint="eastAsia" w:ascii="宋体" w:hAnsi="宋体" w:cs="宋体"/>
          <w:sz w:val="28"/>
          <w:szCs w:val="28"/>
        </w:rPr>
        <w:t>5、服务成果提交方式：Email发送的电子文档及按月度、季度、半年、年度分别为甲方专属定制重庆房地产市场动态报告,每期5本。</w:t>
      </w:r>
    </w:p>
    <w:p w14:paraId="75AFEE0A">
      <w:pPr>
        <w:spacing w:line="360" w:lineRule="auto"/>
        <w:rPr>
          <w:rFonts w:hint="eastAsia" w:ascii="宋体" w:hAnsi="宋体" w:cs="宋体"/>
          <w:sz w:val="28"/>
          <w:szCs w:val="28"/>
        </w:rPr>
      </w:pPr>
      <w:r>
        <w:rPr>
          <w:rFonts w:hint="eastAsia" w:ascii="宋体" w:hAnsi="宋体" w:cs="宋体"/>
          <w:b/>
          <w:kern w:val="0"/>
          <w:sz w:val="28"/>
          <w:szCs w:val="28"/>
        </w:rPr>
        <w:t xml:space="preserve">  四、 服务费用及支付方式</w:t>
      </w:r>
    </w:p>
    <w:p w14:paraId="65809FC5">
      <w:pPr>
        <w:pStyle w:val="5"/>
        <w:spacing w:line="360" w:lineRule="auto"/>
        <w:ind w:firstLine="560" w:firstLineChars="200"/>
        <w:jc w:val="both"/>
        <w:rPr>
          <w:rFonts w:hint="eastAsia" w:ascii="宋体" w:hAnsi="宋体" w:cs="宋体"/>
          <w:sz w:val="28"/>
          <w:szCs w:val="28"/>
        </w:rPr>
      </w:pPr>
      <w:r>
        <w:rPr>
          <w:rFonts w:hint="eastAsia" w:ascii="宋体" w:hAnsi="宋体" w:cs="宋体"/>
          <w:sz w:val="28"/>
          <w:szCs w:val="28"/>
        </w:rPr>
        <w:t>1、合同总金额：人民币</w:t>
      </w:r>
      <w:r>
        <w:rPr>
          <w:rFonts w:hint="eastAsia" w:ascii="宋体" w:hAnsi="宋体" w:cs="宋体"/>
          <w:sz w:val="28"/>
          <w:szCs w:val="28"/>
          <w:u w:val="single"/>
        </w:rPr>
        <w:t xml:space="preserve">      </w:t>
      </w:r>
      <w:r>
        <w:rPr>
          <w:rFonts w:hint="eastAsia" w:ascii="宋体" w:hAnsi="宋体" w:cs="宋体"/>
          <w:sz w:val="28"/>
          <w:szCs w:val="28"/>
        </w:rPr>
        <w:t>元（大写：</w:t>
      </w:r>
      <w:r>
        <w:rPr>
          <w:rFonts w:hint="eastAsia" w:ascii="宋体" w:hAnsi="宋体" w:cs="宋体"/>
          <w:sz w:val="28"/>
          <w:szCs w:val="28"/>
          <w:u w:val="single"/>
        </w:rPr>
        <w:t xml:space="preserve">          </w:t>
      </w:r>
      <w:r>
        <w:rPr>
          <w:rFonts w:hint="eastAsia" w:ascii="宋体" w:hAnsi="宋体" w:cs="宋体"/>
          <w:sz w:val="28"/>
          <w:szCs w:val="28"/>
        </w:rPr>
        <w:t>），该费用为包干总价，包括但不限于数据采集费用、差旅费、税金等一切费用，不因任何因素进行调整。</w:t>
      </w:r>
    </w:p>
    <w:p w14:paraId="6A5E4B41">
      <w:pPr>
        <w:pStyle w:val="11"/>
        <w:spacing w:line="360" w:lineRule="auto"/>
        <w:rPr>
          <w:rFonts w:hint="eastAsia" w:ascii="宋体" w:hAnsi="宋体" w:cs="宋体"/>
          <w:sz w:val="28"/>
          <w:szCs w:val="28"/>
        </w:rPr>
      </w:pPr>
      <w:r>
        <w:rPr>
          <w:rFonts w:hint="eastAsia" w:ascii="宋体" w:hAnsi="宋体" w:cs="宋体"/>
          <w:b w:val="0"/>
          <w:bCs w:val="0"/>
          <w:sz w:val="28"/>
          <w:szCs w:val="28"/>
        </w:rPr>
        <w:t xml:space="preserve">    2、付款条件及付款时间：</w:t>
      </w:r>
    </w:p>
    <w:p w14:paraId="664819D0">
      <w:pPr>
        <w:spacing w:line="360" w:lineRule="auto"/>
        <w:ind w:firstLine="140" w:firstLineChars="50"/>
        <w:rPr>
          <w:rFonts w:hint="eastAsia" w:ascii="宋体" w:hAnsi="宋体" w:cs="宋体"/>
          <w:sz w:val="28"/>
          <w:szCs w:val="28"/>
        </w:rPr>
      </w:pPr>
      <w:r>
        <w:rPr>
          <w:rFonts w:hint="eastAsia" w:ascii="宋体" w:hAnsi="宋体" w:cs="宋体"/>
          <w:sz w:val="28"/>
          <w:szCs w:val="28"/>
        </w:rPr>
        <w:t xml:space="preserve">   每个季度付款前，乙方向甲方提交上个季度的工作成果报告，经甲方确认后，由甲方向乙方支付上季度费用，若因乙方提供成果不符合合同约定的，甲方有权暂停支付费用。</w:t>
      </w:r>
    </w:p>
    <w:p w14:paraId="5740AB37">
      <w:pPr>
        <w:spacing w:line="360" w:lineRule="auto"/>
        <w:ind w:firstLine="140" w:firstLineChars="50"/>
      </w:pPr>
      <w:r>
        <w:rPr>
          <w:rFonts w:hint="eastAsia" w:ascii="宋体" w:hAnsi="宋体" w:cs="宋体"/>
          <w:sz w:val="28"/>
          <w:szCs w:val="28"/>
        </w:rPr>
        <w:t xml:space="preserve">   付款时间共为四次，每季度第一个月20日前甲方向乙方支付上一个季度费用，合同期满后且完成合同结算，支付最后一次服务费用。</w:t>
      </w:r>
    </w:p>
    <w:p w14:paraId="659B2F20">
      <w:pPr>
        <w:pStyle w:val="5"/>
        <w:spacing w:line="360" w:lineRule="auto"/>
        <w:ind w:firstLine="560" w:firstLineChars="200"/>
        <w:jc w:val="both"/>
        <w:rPr>
          <w:rFonts w:hint="eastAsia" w:ascii="宋体" w:hAnsi="宋体" w:cs="宋体"/>
          <w:sz w:val="28"/>
          <w:szCs w:val="28"/>
        </w:rPr>
      </w:pPr>
      <w:r>
        <w:rPr>
          <w:rFonts w:hint="eastAsia" w:ascii="宋体" w:hAnsi="宋体" w:cs="宋体"/>
          <w:sz w:val="28"/>
          <w:szCs w:val="28"/>
        </w:rPr>
        <w:t>3、付款方式</w:t>
      </w:r>
    </w:p>
    <w:p w14:paraId="408CF12B">
      <w:pPr>
        <w:spacing w:line="360" w:lineRule="auto"/>
        <w:ind w:firstLine="140" w:firstLineChars="50"/>
        <w:rPr>
          <w:rFonts w:hint="eastAsia" w:ascii="宋体" w:hAnsi="宋体" w:cs="宋体"/>
          <w:sz w:val="28"/>
          <w:szCs w:val="28"/>
        </w:rPr>
      </w:pPr>
      <w:r>
        <w:rPr>
          <w:rFonts w:hint="eastAsia" w:ascii="宋体" w:hAnsi="宋体" w:cs="宋体"/>
          <w:sz w:val="28"/>
          <w:szCs w:val="28"/>
        </w:rPr>
        <w:t xml:space="preserve">   甲方向乙方支付款项前，乙方需向甲方提供合规的增值税专用发票，否则，甲方有权不予付款且不承担逾期付款的违约责任。</w:t>
      </w:r>
    </w:p>
    <w:p w14:paraId="0FD95036">
      <w:pPr>
        <w:pStyle w:val="5"/>
        <w:spacing w:line="360" w:lineRule="auto"/>
        <w:ind w:firstLine="560" w:firstLineChars="200"/>
        <w:jc w:val="both"/>
        <w:rPr>
          <w:rFonts w:hint="eastAsia" w:ascii="宋体" w:hAnsi="宋体" w:cs="宋体"/>
          <w:sz w:val="28"/>
          <w:szCs w:val="28"/>
        </w:rPr>
      </w:pPr>
      <w:r>
        <w:rPr>
          <w:rFonts w:hint="eastAsia" w:ascii="宋体" w:hAnsi="宋体" w:cs="宋体"/>
          <w:sz w:val="28"/>
          <w:szCs w:val="28"/>
        </w:rPr>
        <w:t>乙方收款账户信息如下</w:t>
      </w:r>
    </w:p>
    <w:p w14:paraId="79E28DBE">
      <w:pPr>
        <w:pStyle w:val="5"/>
        <w:spacing w:line="360" w:lineRule="auto"/>
        <w:ind w:firstLine="560" w:firstLineChars="200"/>
        <w:jc w:val="both"/>
        <w:rPr>
          <w:rFonts w:hint="eastAsia" w:ascii="宋体" w:hAnsi="宋体" w:cs="宋体"/>
          <w:sz w:val="28"/>
          <w:szCs w:val="28"/>
        </w:rPr>
      </w:pPr>
      <w:r>
        <w:rPr>
          <w:rFonts w:hint="eastAsia" w:ascii="宋体" w:hAnsi="宋体" w:cs="宋体"/>
          <w:sz w:val="28"/>
          <w:szCs w:val="28"/>
        </w:rPr>
        <w:t>收款单位全称：</w:t>
      </w:r>
    </w:p>
    <w:p w14:paraId="153B5D35">
      <w:pPr>
        <w:pStyle w:val="5"/>
        <w:spacing w:line="360" w:lineRule="auto"/>
        <w:ind w:firstLine="560" w:firstLineChars="200"/>
        <w:jc w:val="both"/>
        <w:rPr>
          <w:rFonts w:hint="eastAsia" w:ascii="宋体" w:hAnsi="宋体" w:cs="宋体"/>
          <w:sz w:val="28"/>
          <w:szCs w:val="28"/>
        </w:rPr>
      </w:pPr>
      <w:r>
        <w:rPr>
          <w:rFonts w:hint="eastAsia" w:ascii="宋体" w:hAnsi="宋体" w:cs="宋体"/>
          <w:sz w:val="28"/>
          <w:szCs w:val="28"/>
        </w:rPr>
        <w:t>开户行：</w:t>
      </w:r>
    </w:p>
    <w:p w14:paraId="61FC1C3C">
      <w:pPr>
        <w:pStyle w:val="5"/>
        <w:spacing w:line="360" w:lineRule="auto"/>
        <w:ind w:firstLine="560" w:firstLineChars="200"/>
        <w:jc w:val="both"/>
        <w:rPr>
          <w:rFonts w:hint="eastAsia" w:ascii="宋体" w:hAnsi="宋体" w:cs="宋体"/>
          <w:sz w:val="28"/>
          <w:szCs w:val="28"/>
        </w:rPr>
      </w:pPr>
      <w:r>
        <w:rPr>
          <w:rFonts w:hint="eastAsia" w:ascii="宋体" w:hAnsi="宋体" w:cs="宋体"/>
          <w:sz w:val="28"/>
          <w:szCs w:val="28"/>
        </w:rPr>
        <w:t>帐号：</w:t>
      </w:r>
    </w:p>
    <w:p w14:paraId="31D76A9F">
      <w:pPr>
        <w:widowControl/>
        <w:spacing w:before="312" w:line="360" w:lineRule="auto"/>
        <w:rPr>
          <w:rFonts w:hint="eastAsia" w:ascii="宋体" w:hAnsi="宋体" w:cs="宋体"/>
          <w:b/>
          <w:kern w:val="0"/>
          <w:sz w:val="28"/>
          <w:szCs w:val="28"/>
        </w:rPr>
      </w:pPr>
      <w:r>
        <w:rPr>
          <w:rFonts w:hint="eastAsia" w:ascii="宋体" w:hAnsi="宋体" w:cs="宋体"/>
          <w:b/>
          <w:kern w:val="0"/>
          <w:sz w:val="28"/>
          <w:szCs w:val="28"/>
        </w:rPr>
        <w:t xml:space="preserve">    五、甲方的权利与义务</w:t>
      </w:r>
    </w:p>
    <w:p w14:paraId="631B0649">
      <w:pPr>
        <w:spacing w:line="360" w:lineRule="auto"/>
        <w:ind w:firstLine="560" w:firstLineChars="200"/>
        <w:rPr>
          <w:rFonts w:hint="eastAsia" w:ascii="宋体" w:hAnsi="宋体" w:cs="宋体"/>
          <w:sz w:val="28"/>
          <w:szCs w:val="28"/>
        </w:rPr>
      </w:pPr>
      <w:r>
        <w:rPr>
          <w:rFonts w:hint="eastAsia" w:ascii="宋体" w:hAnsi="宋体" w:cs="宋体"/>
          <w:sz w:val="28"/>
          <w:szCs w:val="28"/>
        </w:rPr>
        <w:t>1、甲方拥有乙方提供数据、资料及分析报告的所有权及全部知识产权。</w:t>
      </w:r>
    </w:p>
    <w:p w14:paraId="0ECFAD63">
      <w:pPr>
        <w:spacing w:line="360" w:lineRule="auto"/>
        <w:ind w:firstLine="560" w:firstLineChars="200"/>
        <w:rPr>
          <w:rFonts w:hint="eastAsia" w:ascii="宋体" w:hAnsi="宋体" w:cs="宋体"/>
          <w:sz w:val="28"/>
          <w:szCs w:val="28"/>
        </w:rPr>
      </w:pPr>
      <w:r>
        <w:rPr>
          <w:rFonts w:hint="eastAsia" w:ascii="宋体" w:hAnsi="宋体" w:cs="宋体"/>
          <w:sz w:val="28"/>
          <w:szCs w:val="28"/>
        </w:rPr>
        <w:t>2、甲方有权根据市场变化调整调研对象，在调研对象不超过合作计划书里制定的楼盘数量和范围的情况下，无需向乙方另行支付费用。</w:t>
      </w:r>
    </w:p>
    <w:p w14:paraId="7E762AE4">
      <w:pPr>
        <w:spacing w:line="360" w:lineRule="auto"/>
        <w:ind w:firstLine="560" w:firstLineChars="200"/>
        <w:rPr>
          <w:rFonts w:hint="eastAsia" w:ascii="宋体" w:hAnsi="宋体" w:cs="宋体"/>
          <w:sz w:val="28"/>
          <w:szCs w:val="28"/>
        </w:rPr>
      </w:pPr>
      <w:r>
        <w:rPr>
          <w:rFonts w:hint="eastAsia" w:ascii="宋体" w:hAnsi="宋体" w:cs="宋体"/>
          <w:sz w:val="28"/>
          <w:szCs w:val="28"/>
        </w:rPr>
        <w:t>3、甲方在获取乙方提供的市场研究服务及信息资料后有权就内容向乙方提出咨询或要求评估。有权要求乙方说明市场调研服务及信息资料中数据的收集方式。因乙方未能提供数据来源或能够认定乙方数据系编造、杜撰的，视为乙方违约，甲方有权单方面终止本协议，并要求乙方退还本协议已支付的全部费用。</w:t>
      </w:r>
    </w:p>
    <w:p w14:paraId="0D55C759">
      <w:pPr>
        <w:spacing w:line="360" w:lineRule="auto"/>
        <w:ind w:firstLine="560" w:firstLineChars="200"/>
        <w:rPr>
          <w:rFonts w:hint="eastAsia" w:ascii="宋体" w:hAnsi="宋体" w:cs="宋体"/>
          <w:sz w:val="28"/>
          <w:szCs w:val="28"/>
        </w:rPr>
      </w:pPr>
      <w:r>
        <w:rPr>
          <w:rFonts w:hint="eastAsia" w:ascii="宋体" w:hAnsi="宋体" w:cs="宋体"/>
          <w:sz w:val="28"/>
          <w:szCs w:val="28"/>
        </w:rPr>
        <w:t>4、在合同执行期间，甲方有权就服务内容、工作方式、工作质量等向乙方提出改进意见。甲方验收不合格的，乙方应立即进行整改，经整改仍未能满足验收要求的，甲方有权解除合同。</w:t>
      </w:r>
    </w:p>
    <w:p w14:paraId="439018EC">
      <w:pPr>
        <w:widowControl/>
        <w:spacing w:before="312" w:line="360" w:lineRule="auto"/>
        <w:rPr>
          <w:rFonts w:hint="eastAsia" w:ascii="宋体" w:hAnsi="宋体" w:cs="宋体"/>
          <w:b/>
          <w:kern w:val="0"/>
          <w:sz w:val="28"/>
          <w:szCs w:val="28"/>
        </w:rPr>
      </w:pPr>
      <w:r>
        <w:rPr>
          <w:rFonts w:hint="eastAsia" w:ascii="宋体" w:hAnsi="宋体" w:cs="宋体"/>
          <w:b/>
          <w:kern w:val="0"/>
          <w:sz w:val="28"/>
          <w:szCs w:val="28"/>
        </w:rPr>
        <w:t xml:space="preserve">   六、乙方的权利与义务</w:t>
      </w:r>
    </w:p>
    <w:p w14:paraId="311AFF6F">
      <w:pPr>
        <w:spacing w:line="360" w:lineRule="auto"/>
        <w:ind w:firstLine="560" w:firstLineChars="200"/>
        <w:rPr>
          <w:rFonts w:hint="eastAsia" w:ascii="宋体" w:hAnsi="宋体" w:cs="宋体"/>
          <w:sz w:val="28"/>
          <w:szCs w:val="28"/>
        </w:rPr>
      </w:pPr>
      <w:r>
        <w:rPr>
          <w:rFonts w:hint="eastAsia" w:ascii="宋体" w:hAnsi="宋体" w:cs="宋体"/>
          <w:sz w:val="28"/>
          <w:szCs w:val="28"/>
        </w:rPr>
        <w:t>1、乙方保证所提供之市场研究服务的质量，保证调研成果客观真实，保证数据来源真实可靠。所提交资料不侵犯第三方所有权或知识产权。</w:t>
      </w:r>
    </w:p>
    <w:p w14:paraId="16A883CC">
      <w:pPr>
        <w:spacing w:line="360" w:lineRule="auto"/>
        <w:ind w:firstLine="560" w:firstLineChars="200"/>
        <w:rPr>
          <w:rFonts w:hint="eastAsia" w:ascii="宋体" w:hAnsi="宋体" w:cs="宋体"/>
          <w:sz w:val="28"/>
          <w:szCs w:val="28"/>
        </w:rPr>
      </w:pPr>
      <w:r>
        <w:rPr>
          <w:rFonts w:hint="eastAsia" w:ascii="宋体" w:hAnsi="宋体" w:cs="宋体"/>
          <w:sz w:val="28"/>
          <w:szCs w:val="28"/>
        </w:rPr>
        <w:t>2、乙方保证每月10日前、每季度第一个月10日前、7月20日前、次年第一个月20日前分别提供月度报告、季度报告、半年报告和年度报告（印刷品纸质版顺延5天）。</w:t>
      </w:r>
    </w:p>
    <w:p w14:paraId="3DFF5C20">
      <w:pPr>
        <w:spacing w:line="360" w:lineRule="auto"/>
        <w:jc w:val="left"/>
        <w:rPr>
          <w:rFonts w:hint="eastAsia" w:ascii="宋体" w:hAnsi="宋体" w:cs="宋体"/>
          <w:sz w:val="28"/>
          <w:szCs w:val="28"/>
        </w:rPr>
      </w:pPr>
      <w:r>
        <w:rPr>
          <w:rFonts w:hint="eastAsia" w:ascii="宋体" w:hAnsi="宋体" w:cs="宋体"/>
          <w:sz w:val="28"/>
          <w:szCs w:val="28"/>
        </w:rPr>
        <w:t xml:space="preserve">    3、乙方配备专属管家团队数据查询搜集、报告整合服务（响应时间原则为数据查询2小时内，报告整合视报告情况2-3个工作日，不包括单独出专题报告的服务）。</w:t>
      </w:r>
    </w:p>
    <w:p w14:paraId="4D1D30FC">
      <w:pPr>
        <w:spacing w:line="360" w:lineRule="auto"/>
        <w:ind w:firstLine="560" w:firstLineChars="200"/>
        <w:rPr>
          <w:rFonts w:hint="eastAsia" w:ascii="宋体" w:hAnsi="宋体" w:cs="宋体"/>
          <w:sz w:val="28"/>
          <w:szCs w:val="28"/>
        </w:rPr>
      </w:pPr>
      <w:r>
        <w:rPr>
          <w:rFonts w:hint="eastAsia" w:ascii="宋体" w:hAnsi="宋体" w:cs="宋体"/>
          <w:sz w:val="28"/>
          <w:szCs w:val="28"/>
        </w:rPr>
        <w:t>4、乙方提供数据库账号5个，可方便甲方登陆系统自行查询数据。</w:t>
      </w:r>
    </w:p>
    <w:p w14:paraId="520CDA09">
      <w:pPr>
        <w:spacing w:line="360" w:lineRule="auto"/>
        <w:ind w:firstLine="560" w:firstLineChars="200"/>
        <w:rPr>
          <w:rFonts w:hint="eastAsia" w:ascii="宋体" w:hAnsi="宋体" w:cs="宋体"/>
          <w:sz w:val="28"/>
          <w:szCs w:val="28"/>
        </w:rPr>
      </w:pPr>
      <w:r>
        <w:rPr>
          <w:rFonts w:hint="eastAsia" w:ascii="宋体" w:hAnsi="宋体" w:cs="宋体"/>
          <w:sz w:val="28"/>
          <w:szCs w:val="28"/>
        </w:rPr>
        <w:t>5、乙方须及时对历史数据进行更新维护，保证数据及相关资料及时、准确和全面。</w:t>
      </w:r>
    </w:p>
    <w:p w14:paraId="2B012756">
      <w:pPr>
        <w:spacing w:line="360" w:lineRule="auto"/>
        <w:ind w:firstLine="560" w:firstLineChars="200"/>
        <w:rPr>
          <w:rFonts w:hint="eastAsia" w:ascii="宋体" w:hAnsi="宋体" w:cs="宋体"/>
          <w:sz w:val="28"/>
          <w:szCs w:val="28"/>
        </w:rPr>
      </w:pPr>
      <w:r>
        <w:rPr>
          <w:rFonts w:hint="eastAsia" w:ascii="宋体" w:hAnsi="宋体" w:cs="宋体"/>
          <w:sz w:val="28"/>
          <w:szCs w:val="28"/>
        </w:rPr>
        <w:t>6、乙方应及时采纳甲方就服务内容、工作方式、工作质量等向乙方提出的改进意见，以保证工作质量。</w:t>
      </w:r>
    </w:p>
    <w:p w14:paraId="28895ED3">
      <w:pPr>
        <w:spacing w:line="360" w:lineRule="auto"/>
        <w:ind w:firstLine="560" w:firstLineChars="200"/>
        <w:rPr>
          <w:rFonts w:hint="eastAsia" w:ascii="宋体" w:hAnsi="宋体" w:cs="宋体"/>
          <w:sz w:val="28"/>
          <w:szCs w:val="28"/>
        </w:rPr>
      </w:pPr>
      <w:r>
        <w:rPr>
          <w:rFonts w:hint="eastAsia" w:ascii="宋体" w:hAnsi="宋体" w:cs="宋体"/>
          <w:sz w:val="28"/>
          <w:szCs w:val="28"/>
        </w:rPr>
        <w:t>7、在甲方对资料有盖章需求时，乙方应在24小时内提供资料盖章服务。</w:t>
      </w:r>
    </w:p>
    <w:p w14:paraId="5E260FA6">
      <w:pPr>
        <w:spacing w:line="360" w:lineRule="auto"/>
        <w:ind w:firstLine="560" w:firstLineChars="200"/>
        <w:rPr>
          <w:rFonts w:hint="eastAsia" w:ascii="宋体" w:hAnsi="宋体" w:cs="宋体"/>
          <w:sz w:val="28"/>
          <w:szCs w:val="28"/>
        </w:rPr>
      </w:pPr>
      <w:r>
        <w:rPr>
          <w:rFonts w:hint="eastAsia" w:ascii="宋体" w:hAnsi="宋体" w:cs="宋体"/>
          <w:sz w:val="28"/>
          <w:szCs w:val="28"/>
        </w:rPr>
        <w:t>8、未经甲方事先书面同意，乙方不得将甲方特约制定的市场调查与研究报告所涉及的信息、资料及调研结果与结论等泄漏给第三方或用于履行本合同之外的其他用途。</w:t>
      </w:r>
    </w:p>
    <w:p w14:paraId="34AC2CF0">
      <w:pPr>
        <w:widowControl/>
        <w:spacing w:before="312" w:line="360" w:lineRule="auto"/>
        <w:rPr>
          <w:rFonts w:hint="eastAsia" w:ascii="宋体" w:hAnsi="宋体" w:cs="宋体"/>
          <w:b/>
          <w:sz w:val="28"/>
          <w:szCs w:val="28"/>
        </w:rPr>
      </w:pPr>
      <w:r>
        <w:rPr>
          <w:rFonts w:hint="eastAsia" w:ascii="宋体" w:hAnsi="宋体" w:cs="宋体"/>
          <w:b/>
          <w:sz w:val="28"/>
          <w:szCs w:val="28"/>
        </w:rPr>
        <w:t>七、甲乙双方沟通机制</w:t>
      </w:r>
    </w:p>
    <w:p w14:paraId="5FB5E3DE">
      <w:pPr>
        <w:spacing w:line="360" w:lineRule="auto"/>
        <w:rPr>
          <w:rFonts w:hint="eastAsia" w:ascii="宋体" w:hAnsi="宋体" w:cs="宋体"/>
          <w:sz w:val="28"/>
          <w:szCs w:val="28"/>
        </w:rPr>
      </w:pPr>
      <w:r>
        <w:rPr>
          <w:rFonts w:hint="eastAsia" w:ascii="宋体" w:hAnsi="宋体" w:cs="宋体"/>
          <w:sz w:val="28"/>
          <w:szCs w:val="28"/>
        </w:rPr>
        <w:t xml:space="preserve">   1、合同签定之日起，甲乙双方建立工作微信群，涉及甲乙双方相关工作人员均在此工作群中沟通相关工作。</w:t>
      </w:r>
    </w:p>
    <w:p w14:paraId="0CDDE653">
      <w:pPr>
        <w:spacing w:line="360" w:lineRule="auto"/>
        <w:rPr>
          <w:rFonts w:hint="eastAsia" w:ascii="宋体" w:hAnsi="宋体" w:cs="宋体"/>
          <w:sz w:val="28"/>
          <w:szCs w:val="28"/>
        </w:rPr>
      </w:pPr>
      <w:r>
        <w:rPr>
          <w:rFonts w:hint="eastAsia" w:ascii="宋体" w:hAnsi="宋体" w:cs="宋体"/>
          <w:sz w:val="28"/>
          <w:szCs w:val="28"/>
        </w:rPr>
        <w:t xml:space="preserve">   2、甲乙双方联系人须保持通讯正常：</w:t>
      </w:r>
    </w:p>
    <w:p w14:paraId="3870E209">
      <w:pPr>
        <w:spacing w:line="360" w:lineRule="auto"/>
        <w:ind w:firstLine="560" w:firstLineChars="200"/>
        <w:rPr>
          <w:rFonts w:hint="eastAsia" w:ascii="宋体" w:hAnsi="宋体" w:cs="宋体"/>
          <w:sz w:val="28"/>
          <w:szCs w:val="28"/>
        </w:rPr>
      </w:pPr>
      <w:r>
        <w:rPr>
          <w:rFonts w:hint="eastAsia" w:ascii="宋体" w:hAnsi="宋体" w:cs="宋体"/>
          <w:sz w:val="28"/>
          <w:szCs w:val="28"/>
        </w:rPr>
        <w:t>甲方联络人：</w:t>
      </w:r>
    </w:p>
    <w:p w14:paraId="38292C98">
      <w:pPr>
        <w:spacing w:line="360" w:lineRule="auto"/>
        <w:ind w:firstLine="560" w:firstLineChars="200"/>
        <w:rPr>
          <w:rFonts w:hint="eastAsia" w:ascii="宋体" w:hAnsi="宋体" w:cs="宋体"/>
          <w:sz w:val="28"/>
          <w:szCs w:val="28"/>
        </w:rPr>
      </w:pPr>
      <w:r>
        <w:rPr>
          <w:rFonts w:hint="eastAsia" w:ascii="宋体" w:hAnsi="宋体" w:cs="宋体"/>
          <w:sz w:val="28"/>
          <w:szCs w:val="28"/>
        </w:rPr>
        <w:t>乙方联络人：</w:t>
      </w:r>
    </w:p>
    <w:p w14:paraId="2B22426A">
      <w:pPr>
        <w:widowControl/>
        <w:spacing w:before="312" w:line="360" w:lineRule="auto"/>
        <w:rPr>
          <w:rFonts w:hint="eastAsia" w:ascii="宋体" w:hAnsi="宋体" w:cs="宋体"/>
          <w:b/>
          <w:sz w:val="28"/>
          <w:szCs w:val="28"/>
        </w:rPr>
      </w:pPr>
      <w:r>
        <w:rPr>
          <w:rFonts w:hint="eastAsia" w:ascii="宋体" w:hAnsi="宋体" w:cs="宋体"/>
          <w:b/>
          <w:kern w:val="0"/>
          <w:sz w:val="28"/>
          <w:szCs w:val="28"/>
        </w:rPr>
        <w:t xml:space="preserve"> 八、违约责任</w:t>
      </w:r>
    </w:p>
    <w:p w14:paraId="1D559909">
      <w:pPr>
        <w:spacing w:line="360" w:lineRule="auto"/>
        <w:rPr>
          <w:rFonts w:hint="eastAsia" w:ascii="宋体" w:hAnsi="宋体" w:cs="宋体"/>
          <w:sz w:val="28"/>
          <w:szCs w:val="28"/>
        </w:rPr>
      </w:pPr>
      <w:r>
        <w:rPr>
          <w:rFonts w:hint="eastAsia" w:ascii="宋体" w:hAnsi="宋体" w:cs="宋体"/>
          <w:sz w:val="28"/>
          <w:szCs w:val="28"/>
        </w:rPr>
        <w:t xml:space="preserve">   1、甲方未按时支付项目经费，每逾期一天，甲方按应付未付金额的万分之一向乙方支付违约金，违约金最高赔付为五十天。</w:t>
      </w:r>
    </w:p>
    <w:p w14:paraId="5E6E95CE">
      <w:pPr>
        <w:spacing w:line="360" w:lineRule="auto"/>
        <w:rPr>
          <w:rFonts w:hint="eastAsia" w:ascii="宋体" w:hAnsi="宋体" w:cs="宋体"/>
          <w:sz w:val="28"/>
          <w:szCs w:val="28"/>
        </w:rPr>
      </w:pPr>
      <w:r>
        <w:rPr>
          <w:rFonts w:hint="eastAsia" w:ascii="宋体" w:hAnsi="宋体" w:cs="宋体"/>
          <w:sz w:val="28"/>
          <w:szCs w:val="28"/>
        </w:rPr>
        <w:t xml:space="preserve">   2、乙方未按时按标准提交研究结果，每逾期一天，乙方应向甲方支付本合同已付金额的万分之五滞纳金，滞纳金最高赔付为五十天。若逾期十天（或乙方所提供数据质量及真实性存在问题），或此类情况发生五次及以上，甲方有权解除本合同，并要求对方赔偿合同总金额5%的违约金.滞纳金均可由甲方直接在应付款项中予以扣除。</w:t>
      </w:r>
    </w:p>
    <w:p w14:paraId="1C44896A">
      <w:pPr>
        <w:spacing w:line="360" w:lineRule="auto"/>
        <w:ind w:firstLine="560" w:firstLineChars="200"/>
        <w:rPr>
          <w:rFonts w:hint="eastAsia" w:ascii="宋体" w:hAnsi="宋体" w:cs="宋体"/>
          <w:sz w:val="28"/>
          <w:szCs w:val="28"/>
        </w:rPr>
      </w:pPr>
      <w:r>
        <w:rPr>
          <w:rFonts w:hint="eastAsia" w:ascii="宋体" w:hAnsi="宋体" w:cs="宋体"/>
          <w:sz w:val="28"/>
          <w:szCs w:val="28"/>
        </w:rPr>
        <w:t>3、乙方未按时对甲方需求的资料进行盖章服务，每逾期一天，乙方应向甲方支付五百元一次罚款，若或此类情况发生五次及以上，甲方有权无责任解除本合同。</w:t>
      </w:r>
    </w:p>
    <w:p w14:paraId="1F92FD4A">
      <w:pPr>
        <w:widowControl/>
        <w:spacing w:before="312" w:line="360" w:lineRule="auto"/>
        <w:rPr>
          <w:rFonts w:hint="eastAsia" w:ascii="宋体" w:hAnsi="宋体" w:cs="宋体"/>
          <w:b/>
          <w:kern w:val="0"/>
          <w:sz w:val="28"/>
          <w:szCs w:val="28"/>
        </w:rPr>
      </w:pPr>
      <w:r>
        <w:rPr>
          <w:rFonts w:hint="eastAsia" w:ascii="宋体" w:hAnsi="宋体" w:cs="宋体"/>
          <w:b/>
          <w:kern w:val="0"/>
          <w:sz w:val="28"/>
          <w:szCs w:val="28"/>
        </w:rPr>
        <w:t xml:space="preserve"> 九、不可抗力</w:t>
      </w:r>
    </w:p>
    <w:p w14:paraId="7ACA87B5">
      <w:pPr>
        <w:spacing w:line="360" w:lineRule="auto"/>
        <w:ind w:firstLine="532" w:firstLineChars="190"/>
        <w:jc w:val="left"/>
        <w:rPr>
          <w:rFonts w:hint="eastAsia" w:ascii="宋体" w:hAnsi="宋体" w:cs="宋体"/>
          <w:sz w:val="28"/>
          <w:szCs w:val="28"/>
        </w:rPr>
      </w:pPr>
      <w:r>
        <w:rPr>
          <w:rFonts w:hint="eastAsia" w:ascii="宋体" w:hAnsi="宋体" w:cs="宋体"/>
          <w:sz w:val="28"/>
          <w:szCs w:val="28"/>
        </w:rPr>
        <w:t>1、“不可抗力”指不可预见、不可控制或即使预见亦无法避免的事件，包括但不限于政府行为、地震、台风、洪水、火灾或其它天灾，战争、黑客攻击、计算机病毒、网络故障或任何其它类似事件。</w:t>
      </w:r>
    </w:p>
    <w:p w14:paraId="60F2587B">
      <w:pPr>
        <w:spacing w:line="360" w:lineRule="auto"/>
        <w:ind w:firstLine="532" w:firstLineChars="190"/>
        <w:jc w:val="left"/>
        <w:rPr>
          <w:rFonts w:hint="eastAsia" w:ascii="宋体" w:hAnsi="宋体" w:cs="宋体"/>
          <w:sz w:val="28"/>
          <w:szCs w:val="28"/>
        </w:rPr>
      </w:pPr>
      <w:r>
        <w:rPr>
          <w:rFonts w:hint="eastAsia" w:ascii="宋体" w:hAnsi="宋体" w:cs="宋体"/>
          <w:sz w:val="28"/>
          <w:szCs w:val="28"/>
        </w:rPr>
        <w:t>2、出现不可抗力事件时，知情方应及时、充分地向对方以书面形式发出通知，并告知对方该类事件对本协议可能产生的影响，并应当在合理期限内提供相关证明。</w:t>
      </w:r>
    </w:p>
    <w:p w14:paraId="2D5CD8D9">
      <w:pPr>
        <w:pStyle w:val="5"/>
        <w:spacing w:line="360" w:lineRule="auto"/>
        <w:ind w:firstLine="560" w:firstLineChars="200"/>
        <w:jc w:val="both"/>
        <w:rPr>
          <w:rFonts w:hint="eastAsia" w:ascii="宋体" w:hAnsi="宋体" w:cs="宋体"/>
          <w:sz w:val="28"/>
          <w:szCs w:val="28"/>
        </w:rPr>
      </w:pPr>
      <w:r>
        <w:rPr>
          <w:rFonts w:hint="eastAsia" w:ascii="宋体" w:hAnsi="宋体" w:cs="宋体"/>
          <w:sz w:val="28"/>
          <w:szCs w:val="28"/>
        </w:rPr>
        <w:t>3、如因不可抗力导致本合同不能履行或延迟履行，则双方彼此间不承担任何违约责任，但发生不可抗力的一方应采取措施避免损害扩大。</w:t>
      </w:r>
    </w:p>
    <w:p w14:paraId="35F7E5CB">
      <w:pPr>
        <w:widowControl/>
        <w:spacing w:before="312" w:line="360" w:lineRule="auto"/>
        <w:rPr>
          <w:rFonts w:hint="eastAsia" w:ascii="宋体" w:hAnsi="宋体" w:cs="宋体"/>
          <w:b/>
          <w:kern w:val="0"/>
          <w:sz w:val="28"/>
          <w:szCs w:val="28"/>
        </w:rPr>
      </w:pPr>
      <w:r>
        <w:rPr>
          <w:rFonts w:hint="eastAsia" w:ascii="宋体" w:hAnsi="宋体" w:cs="宋体"/>
          <w:b/>
          <w:kern w:val="0"/>
          <w:sz w:val="28"/>
          <w:szCs w:val="28"/>
        </w:rPr>
        <w:t xml:space="preserve"> 十、法律适用及争议解决</w:t>
      </w:r>
    </w:p>
    <w:p w14:paraId="20D3535A">
      <w:pPr>
        <w:spacing w:line="360" w:lineRule="auto"/>
        <w:ind w:firstLine="560" w:firstLineChars="200"/>
        <w:rPr>
          <w:rFonts w:hint="eastAsia" w:ascii="宋体" w:hAnsi="宋体" w:cs="宋体"/>
          <w:sz w:val="28"/>
          <w:szCs w:val="28"/>
        </w:rPr>
      </w:pPr>
      <w:r>
        <w:rPr>
          <w:rFonts w:hint="eastAsia" w:ascii="宋体" w:hAnsi="宋体" w:cs="宋体"/>
          <w:kern w:val="0"/>
          <w:sz w:val="28"/>
          <w:szCs w:val="28"/>
        </w:rPr>
        <w:t>1、</w:t>
      </w:r>
      <w:r>
        <w:rPr>
          <w:rFonts w:hint="eastAsia" w:ascii="宋体" w:hAnsi="宋体" w:cs="宋体"/>
          <w:sz w:val="28"/>
          <w:szCs w:val="28"/>
        </w:rPr>
        <w:t>本协议的生效、解释、执行、管辖、争议的解决均适用中华人民共和国法律。</w:t>
      </w:r>
    </w:p>
    <w:p w14:paraId="1112BACC">
      <w:pPr>
        <w:spacing w:line="360" w:lineRule="auto"/>
        <w:ind w:firstLine="560" w:firstLineChars="200"/>
        <w:rPr>
          <w:rFonts w:hint="eastAsia" w:ascii="宋体" w:hAnsi="宋体" w:cs="宋体"/>
          <w:sz w:val="28"/>
          <w:szCs w:val="28"/>
        </w:rPr>
      </w:pPr>
      <w:r>
        <w:rPr>
          <w:rFonts w:hint="eastAsia" w:ascii="宋体" w:hAnsi="宋体" w:cs="宋体"/>
          <w:kern w:val="0"/>
          <w:sz w:val="28"/>
          <w:szCs w:val="28"/>
        </w:rPr>
        <w:t>2、</w:t>
      </w:r>
      <w:r>
        <w:rPr>
          <w:rFonts w:hint="eastAsia" w:ascii="宋体" w:hAnsi="宋体" w:cs="宋体"/>
          <w:sz w:val="28"/>
          <w:szCs w:val="28"/>
        </w:rPr>
        <w:t>因本协议引起的或与本协议有关的任何争议，</w:t>
      </w:r>
      <w:r>
        <w:rPr>
          <w:rFonts w:hint="eastAsia" w:ascii="宋体" w:hAnsi="宋体" w:cs="宋体"/>
          <w:kern w:val="0"/>
          <w:sz w:val="28"/>
          <w:szCs w:val="28"/>
        </w:rPr>
        <w:t>双方应当友好协商解决，如协商不成，任何一方均可向甲方所在地人民法院起诉。</w:t>
      </w:r>
    </w:p>
    <w:p w14:paraId="5BD87482">
      <w:pPr>
        <w:widowControl/>
        <w:spacing w:before="312" w:line="360" w:lineRule="auto"/>
        <w:rPr>
          <w:rFonts w:hint="eastAsia" w:ascii="宋体" w:hAnsi="宋体" w:cs="宋体"/>
          <w:b/>
          <w:kern w:val="0"/>
          <w:sz w:val="28"/>
          <w:szCs w:val="28"/>
        </w:rPr>
      </w:pPr>
      <w:r>
        <w:rPr>
          <w:rFonts w:hint="eastAsia" w:ascii="宋体" w:hAnsi="宋体" w:cs="宋体"/>
          <w:b/>
          <w:kern w:val="0"/>
          <w:sz w:val="28"/>
          <w:szCs w:val="28"/>
        </w:rPr>
        <w:t xml:space="preserve">  十一、 协议的生效</w:t>
      </w:r>
    </w:p>
    <w:p w14:paraId="30E1A5BF">
      <w:pPr>
        <w:widowControl/>
        <w:spacing w:line="360" w:lineRule="auto"/>
        <w:ind w:firstLine="480"/>
        <w:jc w:val="left"/>
        <w:rPr>
          <w:rFonts w:hint="eastAsia" w:ascii="宋体" w:hAnsi="宋体" w:cs="宋体"/>
          <w:kern w:val="0"/>
          <w:sz w:val="28"/>
          <w:szCs w:val="28"/>
        </w:rPr>
      </w:pPr>
      <w:r>
        <w:rPr>
          <w:rFonts w:hint="eastAsia" w:ascii="宋体" w:hAnsi="宋体" w:cs="宋体"/>
          <w:kern w:val="0"/>
          <w:sz w:val="28"/>
          <w:szCs w:val="28"/>
        </w:rPr>
        <w:t>1、本协议自双方加盖公章之日起生效。</w:t>
      </w:r>
    </w:p>
    <w:p w14:paraId="3514AC69">
      <w:pPr>
        <w:widowControl/>
        <w:spacing w:line="360" w:lineRule="auto"/>
        <w:ind w:firstLine="480"/>
        <w:rPr>
          <w:rFonts w:hint="eastAsia" w:ascii="宋体" w:hAnsi="宋体" w:cs="宋体"/>
          <w:kern w:val="0"/>
          <w:sz w:val="28"/>
          <w:szCs w:val="28"/>
        </w:rPr>
      </w:pPr>
      <w:r>
        <w:rPr>
          <w:rFonts w:hint="eastAsia" w:ascii="宋体" w:hAnsi="宋体" w:cs="宋体"/>
          <w:kern w:val="0"/>
          <w:sz w:val="28"/>
          <w:szCs w:val="28"/>
        </w:rPr>
        <w:t>2、在打印或填写过程中，甲乙双方不得更改或删除本合同中的任何条款，更动后的合同将被视为无效。</w:t>
      </w:r>
    </w:p>
    <w:p w14:paraId="6D1EADD5">
      <w:pPr>
        <w:widowControl/>
        <w:spacing w:before="312" w:line="360" w:lineRule="auto"/>
        <w:rPr>
          <w:rFonts w:hint="eastAsia" w:ascii="宋体" w:hAnsi="宋体" w:cs="宋体"/>
          <w:b/>
          <w:kern w:val="0"/>
          <w:sz w:val="28"/>
          <w:szCs w:val="28"/>
        </w:rPr>
      </w:pPr>
      <w:r>
        <w:rPr>
          <w:rFonts w:hint="eastAsia" w:ascii="宋体" w:hAnsi="宋体" w:cs="宋体"/>
          <w:b/>
          <w:kern w:val="0"/>
          <w:sz w:val="28"/>
          <w:szCs w:val="28"/>
        </w:rPr>
        <w:t xml:space="preserve"> 十二、 附则</w:t>
      </w:r>
    </w:p>
    <w:p w14:paraId="02E164D1">
      <w:pPr>
        <w:widowControl/>
        <w:spacing w:line="360" w:lineRule="auto"/>
        <w:ind w:firstLine="560" w:firstLineChars="200"/>
        <w:rPr>
          <w:rFonts w:hint="eastAsia" w:ascii="宋体" w:hAnsi="宋体" w:cs="宋体"/>
          <w:kern w:val="0"/>
          <w:sz w:val="28"/>
          <w:szCs w:val="28"/>
        </w:rPr>
      </w:pPr>
      <w:r>
        <w:rPr>
          <w:rFonts w:hint="eastAsia" w:ascii="宋体" w:hAnsi="宋体" w:cs="宋体"/>
          <w:kern w:val="0"/>
          <w:sz w:val="28"/>
          <w:szCs w:val="28"/>
        </w:rPr>
        <w:t>1、本合同未尽事宜由双方协商一致，并签订补充协议。补充协议经甲乙双方盖章后生效，是本合同的组成部分，与本合同具有同等法律效力。</w:t>
      </w:r>
    </w:p>
    <w:p w14:paraId="24AE27FA">
      <w:pPr>
        <w:widowControl/>
        <w:spacing w:line="360" w:lineRule="auto"/>
        <w:ind w:firstLine="560" w:firstLineChars="200"/>
        <w:rPr>
          <w:rFonts w:hint="eastAsia" w:ascii="宋体" w:hAnsi="宋体" w:cs="宋体"/>
          <w:kern w:val="0"/>
          <w:sz w:val="28"/>
          <w:szCs w:val="28"/>
        </w:rPr>
      </w:pPr>
      <w:r>
        <w:rPr>
          <w:rFonts w:hint="eastAsia" w:ascii="宋体" w:hAnsi="宋体" w:cs="宋体"/>
          <w:kern w:val="0"/>
          <w:sz w:val="28"/>
          <w:szCs w:val="28"/>
        </w:rPr>
        <w:t>2、本合同一式陆份，甲方执肆份，乙方执两份，具有同等法律效力。</w:t>
      </w:r>
    </w:p>
    <w:p w14:paraId="080BA139">
      <w:pPr>
        <w:pStyle w:val="5"/>
        <w:spacing w:line="360" w:lineRule="auto"/>
        <w:ind w:firstLine="560" w:firstLineChars="200"/>
        <w:jc w:val="both"/>
        <w:rPr>
          <w:rFonts w:hint="eastAsia" w:ascii="宋体" w:hAnsi="宋体" w:cs="宋体"/>
          <w:kern w:val="0"/>
          <w:sz w:val="28"/>
          <w:szCs w:val="28"/>
        </w:rPr>
      </w:pPr>
      <w:r>
        <w:rPr>
          <w:rFonts w:hint="eastAsia" w:ascii="宋体" w:hAnsi="宋体" w:cs="宋体"/>
          <w:kern w:val="0"/>
          <w:sz w:val="28"/>
          <w:szCs w:val="28"/>
        </w:rPr>
        <w:t>3、以下附件是本合同重要的组成部分，与本合同具有同等的效力。</w:t>
      </w:r>
    </w:p>
    <w:p w14:paraId="79DCD3F6">
      <w:pPr>
        <w:spacing w:line="360" w:lineRule="auto"/>
        <w:rPr>
          <w:rFonts w:hint="eastAsia" w:ascii="宋体" w:hAnsi="宋体" w:cs="宋体"/>
          <w:sz w:val="28"/>
          <w:szCs w:val="28"/>
        </w:rPr>
      </w:pPr>
    </w:p>
    <w:p w14:paraId="540E2028">
      <w:pPr>
        <w:spacing w:line="360" w:lineRule="auto"/>
        <w:ind w:firstLine="840" w:firstLineChars="299"/>
        <w:rPr>
          <w:rFonts w:hint="eastAsia" w:ascii="宋体" w:hAnsi="宋体" w:cs="宋体"/>
          <w:b/>
          <w:sz w:val="28"/>
          <w:szCs w:val="28"/>
        </w:rPr>
      </w:pPr>
      <w:r>
        <w:rPr>
          <w:rFonts w:hint="eastAsia" w:ascii="宋体" w:hAnsi="宋体" w:cs="宋体"/>
          <w:b/>
          <w:sz w:val="28"/>
          <w:szCs w:val="28"/>
        </w:rPr>
        <w:t>甲方：                               乙方：</w:t>
      </w:r>
    </w:p>
    <w:p w14:paraId="13127198">
      <w:pPr>
        <w:spacing w:line="360" w:lineRule="auto"/>
        <w:ind w:firstLine="840" w:firstLineChars="299"/>
        <w:rPr>
          <w:rFonts w:hint="eastAsia" w:ascii="宋体" w:hAnsi="宋体" w:cs="宋体"/>
          <w:b/>
          <w:sz w:val="28"/>
          <w:szCs w:val="28"/>
        </w:rPr>
      </w:pPr>
      <w:r>
        <w:rPr>
          <w:rFonts w:hint="eastAsia" w:ascii="宋体" w:hAnsi="宋体" w:cs="宋体"/>
          <w:b/>
          <w:sz w:val="28"/>
          <w:szCs w:val="28"/>
        </w:rPr>
        <w:t>签约代表：                           签约代表：</w:t>
      </w:r>
    </w:p>
    <w:p w14:paraId="49D62D58">
      <w:pPr>
        <w:spacing w:line="360" w:lineRule="auto"/>
        <w:ind w:firstLine="843" w:firstLineChars="300"/>
        <w:rPr>
          <w:rFonts w:hint="eastAsia" w:ascii="宋体" w:hAnsi="宋体" w:cs="宋体"/>
          <w:sz w:val="28"/>
          <w:szCs w:val="28"/>
        </w:rPr>
      </w:pPr>
      <w:r>
        <w:rPr>
          <w:rFonts w:hint="eastAsia" w:ascii="宋体" w:hAnsi="宋体" w:cs="宋体"/>
          <w:b/>
          <w:sz w:val="28"/>
          <w:szCs w:val="28"/>
        </w:rPr>
        <w:t xml:space="preserve">签约时间：                           签约时间：         </w:t>
      </w:r>
    </w:p>
    <w:p w14:paraId="0D75760B"/>
    <w:p w14:paraId="4B77CEDB">
      <w:pPr>
        <w:pStyle w:val="11"/>
      </w:pPr>
    </w:p>
    <w:p w14:paraId="45733C75"/>
    <w:p w14:paraId="2C38EC01">
      <w:pPr>
        <w:pStyle w:val="11"/>
      </w:pPr>
    </w:p>
    <w:p w14:paraId="0D0452A0"/>
    <w:p w14:paraId="49E8DCFC">
      <w:pPr>
        <w:pStyle w:val="11"/>
      </w:pPr>
    </w:p>
    <w:p w14:paraId="50C4B5C3"/>
    <w:p w14:paraId="5230680C"/>
    <w:p w14:paraId="1D3F939A">
      <w:pPr>
        <w:pStyle w:val="11"/>
        <w:jc w:val="both"/>
        <w:rPr>
          <w:rFonts w:hint="eastAsia" w:ascii="宋体" w:hAnsi="宋体"/>
          <w:bCs w:val="0"/>
          <w:sz w:val="28"/>
          <w:szCs w:val="28"/>
        </w:rPr>
      </w:pPr>
      <w:r>
        <w:rPr>
          <w:rFonts w:hint="eastAsia" w:ascii="宋体" w:hAnsi="宋体" w:cs="宋体"/>
          <w:sz w:val="28"/>
          <w:szCs w:val="28"/>
        </w:rPr>
        <w:t xml:space="preserve">     渝开发2024年年度市场监测咨询服务工作内容</w:t>
      </w:r>
    </w:p>
    <w:tbl>
      <w:tblPr>
        <w:tblStyle w:val="12"/>
        <w:tblW w:w="51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933"/>
        <w:gridCol w:w="1266"/>
        <w:gridCol w:w="6529"/>
      </w:tblGrid>
      <w:tr w14:paraId="2212A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35" w:type="pct"/>
            <w:shd w:val="clear" w:color="auto" w:fill="D9D9D9"/>
            <w:vAlign w:val="center"/>
          </w:tcPr>
          <w:p w14:paraId="63D89F73">
            <w:pPr>
              <w:widowControl/>
              <w:spacing w:line="320" w:lineRule="exact"/>
              <w:jc w:val="center"/>
              <w:textAlignment w:val="center"/>
              <w:rPr>
                <w:rFonts w:hint="eastAsia" w:ascii="黑体" w:hAnsi="宋体" w:eastAsia="黑体" w:cs="黑体"/>
                <w:b/>
                <w:bCs/>
                <w:color w:val="000000"/>
                <w:szCs w:val="21"/>
              </w:rPr>
            </w:pPr>
            <w:r>
              <w:rPr>
                <w:rFonts w:hint="eastAsia" w:ascii="黑体" w:hAnsi="宋体" w:eastAsia="黑体" w:cs="黑体"/>
                <w:b/>
                <w:bCs/>
                <w:color w:val="000000"/>
                <w:kern w:val="0"/>
                <w:szCs w:val="21"/>
                <w:lang w:bidi="ar"/>
              </w:rPr>
              <w:t>序号</w:t>
            </w:r>
          </w:p>
        </w:tc>
        <w:tc>
          <w:tcPr>
            <w:tcW w:w="1150" w:type="pct"/>
            <w:gridSpan w:val="2"/>
            <w:shd w:val="clear" w:color="auto" w:fill="D9D9D9"/>
            <w:vAlign w:val="center"/>
          </w:tcPr>
          <w:p w14:paraId="663D74BA">
            <w:pPr>
              <w:widowControl/>
              <w:spacing w:line="320" w:lineRule="exact"/>
              <w:jc w:val="center"/>
              <w:textAlignment w:val="center"/>
              <w:rPr>
                <w:rFonts w:hint="eastAsia" w:ascii="黑体" w:hAnsi="宋体" w:eastAsia="黑体" w:cs="黑体"/>
                <w:b/>
                <w:bCs/>
                <w:color w:val="000000"/>
                <w:szCs w:val="21"/>
              </w:rPr>
            </w:pPr>
            <w:r>
              <w:rPr>
                <w:rFonts w:hint="eastAsia" w:ascii="黑体" w:hAnsi="宋体" w:eastAsia="黑体" w:cs="黑体"/>
                <w:b/>
                <w:bCs/>
                <w:color w:val="000000"/>
                <w:kern w:val="0"/>
                <w:szCs w:val="21"/>
                <w:lang w:bidi="ar"/>
              </w:rPr>
              <w:t>服务内容</w:t>
            </w:r>
          </w:p>
        </w:tc>
        <w:tc>
          <w:tcPr>
            <w:tcW w:w="3413" w:type="pct"/>
            <w:shd w:val="clear" w:color="auto" w:fill="D9D9D9"/>
            <w:vAlign w:val="center"/>
          </w:tcPr>
          <w:p w14:paraId="2F1E3DC7">
            <w:pPr>
              <w:widowControl/>
              <w:spacing w:line="320" w:lineRule="exact"/>
              <w:jc w:val="center"/>
              <w:textAlignment w:val="center"/>
              <w:rPr>
                <w:rFonts w:hint="eastAsia" w:ascii="黑体" w:hAnsi="宋体" w:eastAsia="黑体" w:cs="黑体"/>
                <w:b/>
                <w:bCs/>
                <w:color w:val="000000"/>
                <w:szCs w:val="21"/>
              </w:rPr>
            </w:pPr>
            <w:r>
              <w:rPr>
                <w:rFonts w:hint="eastAsia" w:ascii="黑体" w:hAnsi="宋体" w:eastAsia="黑体" w:cs="黑体"/>
                <w:b/>
                <w:bCs/>
                <w:color w:val="000000"/>
                <w:kern w:val="0"/>
                <w:szCs w:val="21"/>
                <w:lang w:bidi="ar"/>
              </w:rPr>
              <w:t>服务项目</w:t>
            </w:r>
          </w:p>
        </w:tc>
      </w:tr>
      <w:tr w14:paraId="29A3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5" w:type="pct"/>
            <w:vMerge w:val="restart"/>
            <w:shd w:val="clear" w:color="auto" w:fill="auto"/>
            <w:vAlign w:val="center"/>
          </w:tcPr>
          <w:p w14:paraId="093325A7">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1</w:t>
            </w:r>
          </w:p>
        </w:tc>
        <w:tc>
          <w:tcPr>
            <w:tcW w:w="488" w:type="pct"/>
            <w:vMerge w:val="restart"/>
            <w:shd w:val="clear" w:color="auto" w:fill="auto"/>
            <w:vAlign w:val="center"/>
          </w:tcPr>
          <w:p w14:paraId="10DAE8A2">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周度</w:t>
            </w:r>
          </w:p>
        </w:tc>
        <w:tc>
          <w:tcPr>
            <w:tcW w:w="662" w:type="pct"/>
            <w:vMerge w:val="restart"/>
            <w:shd w:val="clear" w:color="auto" w:fill="auto"/>
            <w:vAlign w:val="center"/>
          </w:tcPr>
          <w:p w14:paraId="4EA02826">
            <w:pPr>
              <w:widowControl/>
              <w:spacing w:line="320" w:lineRule="exact"/>
              <w:jc w:val="center"/>
              <w:textAlignment w:val="center"/>
              <w:rPr>
                <w:rFonts w:hint="eastAsia"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普通周报</w:t>
            </w:r>
          </w:p>
          <w:p w14:paraId="193678D6">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（2个）</w:t>
            </w:r>
          </w:p>
        </w:tc>
        <w:tc>
          <w:tcPr>
            <w:tcW w:w="3413" w:type="pct"/>
            <w:shd w:val="clear" w:color="auto" w:fill="auto"/>
            <w:vAlign w:val="center"/>
          </w:tcPr>
          <w:p w14:paraId="0366730A">
            <w:pPr>
              <w:widowControl/>
              <w:numPr>
                <w:ilvl w:val="0"/>
                <w:numId w:val="3"/>
              </w:numPr>
              <w:spacing w:line="320" w:lineRule="exact"/>
              <w:jc w:val="left"/>
              <w:textAlignment w:val="center"/>
              <w:rPr>
                <w:rFonts w:hint="eastAsia"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《重庆市中心城区土地市场周报》</w:t>
            </w:r>
          </w:p>
          <w:p w14:paraId="7104A08F">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1、土地供应分析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2、土地成交分析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3、土地成交预告</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4、控规修改</w:t>
            </w:r>
          </w:p>
        </w:tc>
      </w:tr>
      <w:tr w14:paraId="082B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trPr>
        <w:tc>
          <w:tcPr>
            <w:tcW w:w="435" w:type="pct"/>
            <w:vMerge w:val="continue"/>
            <w:shd w:val="clear" w:color="auto" w:fill="auto"/>
            <w:vAlign w:val="center"/>
          </w:tcPr>
          <w:p w14:paraId="22BA12D2">
            <w:pPr>
              <w:widowControl/>
              <w:spacing w:line="320" w:lineRule="exact"/>
              <w:jc w:val="center"/>
              <w:rPr>
                <w:rFonts w:hint="eastAsia" w:ascii="黑体" w:hAnsi="宋体" w:eastAsia="黑体" w:cs="黑体"/>
                <w:color w:val="000000"/>
                <w:sz w:val="20"/>
                <w:szCs w:val="20"/>
              </w:rPr>
            </w:pPr>
          </w:p>
        </w:tc>
        <w:tc>
          <w:tcPr>
            <w:tcW w:w="488" w:type="pct"/>
            <w:vMerge w:val="continue"/>
            <w:shd w:val="clear" w:color="auto" w:fill="auto"/>
            <w:vAlign w:val="center"/>
          </w:tcPr>
          <w:p w14:paraId="6ACC68AF">
            <w:pPr>
              <w:widowControl/>
              <w:spacing w:line="320" w:lineRule="exact"/>
              <w:jc w:val="center"/>
              <w:rPr>
                <w:rFonts w:hint="eastAsia" w:ascii="黑体" w:hAnsi="宋体" w:eastAsia="黑体" w:cs="黑体"/>
                <w:color w:val="000000"/>
                <w:sz w:val="20"/>
                <w:szCs w:val="20"/>
              </w:rPr>
            </w:pPr>
          </w:p>
        </w:tc>
        <w:tc>
          <w:tcPr>
            <w:tcW w:w="662" w:type="pct"/>
            <w:vMerge w:val="continue"/>
            <w:shd w:val="clear" w:color="auto" w:fill="auto"/>
            <w:vAlign w:val="center"/>
          </w:tcPr>
          <w:p w14:paraId="72D06648">
            <w:pPr>
              <w:widowControl/>
              <w:spacing w:line="320" w:lineRule="exact"/>
              <w:jc w:val="center"/>
              <w:rPr>
                <w:rFonts w:hint="eastAsia" w:ascii="黑体" w:hAnsi="宋体" w:eastAsia="黑体" w:cs="黑体"/>
                <w:color w:val="000000"/>
                <w:sz w:val="20"/>
                <w:szCs w:val="20"/>
              </w:rPr>
            </w:pPr>
          </w:p>
        </w:tc>
        <w:tc>
          <w:tcPr>
            <w:tcW w:w="3413" w:type="pct"/>
            <w:shd w:val="clear" w:color="auto" w:fill="auto"/>
            <w:vAlign w:val="center"/>
          </w:tcPr>
          <w:p w14:paraId="17D43D1F">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（二）《重庆市中心城区房地产市场周报》</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1、周度大事件：政策焦点/行业资讯/城市规划/经济产业</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2、商品房市场成交排行</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3、整体市场供需分析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4、细分市场供需分析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5、商品房市场供应分析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6、营销推广分析</w:t>
            </w:r>
          </w:p>
        </w:tc>
      </w:tr>
      <w:tr w14:paraId="0354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5" w:type="pct"/>
            <w:vMerge w:val="continue"/>
            <w:shd w:val="clear" w:color="auto" w:fill="auto"/>
            <w:vAlign w:val="center"/>
          </w:tcPr>
          <w:p w14:paraId="4B6E112F">
            <w:pPr>
              <w:widowControl/>
              <w:spacing w:line="320" w:lineRule="exact"/>
              <w:jc w:val="center"/>
              <w:rPr>
                <w:rFonts w:hint="eastAsia" w:ascii="黑体" w:hAnsi="宋体" w:eastAsia="黑体" w:cs="黑体"/>
                <w:color w:val="000000"/>
                <w:sz w:val="20"/>
                <w:szCs w:val="20"/>
              </w:rPr>
            </w:pPr>
          </w:p>
        </w:tc>
        <w:tc>
          <w:tcPr>
            <w:tcW w:w="488" w:type="pct"/>
            <w:vMerge w:val="continue"/>
            <w:shd w:val="clear" w:color="auto" w:fill="auto"/>
            <w:vAlign w:val="center"/>
          </w:tcPr>
          <w:p w14:paraId="463F2D0C">
            <w:pPr>
              <w:widowControl/>
              <w:spacing w:line="320" w:lineRule="exact"/>
              <w:jc w:val="center"/>
              <w:rPr>
                <w:rFonts w:hint="eastAsia" w:ascii="黑体" w:hAnsi="宋体" w:eastAsia="黑体" w:cs="黑体"/>
                <w:color w:val="000000"/>
                <w:sz w:val="20"/>
                <w:szCs w:val="20"/>
              </w:rPr>
            </w:pPr>
          </w:p>
        </w:tc>
        <w:tc>
          <w:tcPr>
            <w:tcW w:w="662" w:type="pct"/>
            <w:vMerge w:val="restart"/>
            <w:shd w:val="clear" w:color="auto" w:fill="auto"/>
            <w:vAlign w:val="center"/>
          </w:tcPr>
          <w:p w14:paraId="5B1C8D8E">
            <w:pPr>
              <w:widowControl/>
              <w:spacing w:line="320" w:lineRule="exact"/>
              <w:jc w:val="center"/>
              <w:textAlignment w:val="center"/>
              <w:rPr>
                <w:rFonts w:hint="eastAsia"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专属周报</w:t>
            </w:r>
          </w:p>
          <w:p w14:paraId="7B1ABC55">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（3个）</w:t>
            </w:r>
          </w:p>
        </w:tc>
        <w:tc>
          <w:tcPr>
            <w:tcW w:w="3413" w:type="pct"/>
            <w:shd w:val="clear" w:color="auto" w:fill="auto"/>
            <w:vAlign w:val="center"/>
          </w:tcPr>
          <w:p w14:paraId="3782951F">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（一）《渝开发-核心项目周边竞争格局分析报告》</w:t>
            </w:r>
          </w:p>
        </w:tc>
      </w:tr>
      <w:tr w14:paraId="627CF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5" w:type="pct"/>
            <w:vMerge w:val="continue"/>
            <w:shd w:val="clear" w:color="auto" w:fill="auto"/>
            <w:vAlign w:val="center"/>
          </w:tcPr>
          <w:p w14:paraId="57C2AD36">
            <w:pPr>
              <w:widowControl/>
              <w:spacing w:line="320" w:lineRule="exact"/>
              <w:jc w:val="center"/>
              <w:rPr>
                <w:rFonts w:hint="eastAsia" w:ascii="黑体" w:hAnsi="宋体" w:eastAsia="黑体" w:cs="黑体"/>
                <w:color w:val="000000"/>
                <w:sz w:val="20"/>
                <w:szCs w:val="20"/>
              </w:rPr>
            </w:pPr>
          </w:p>
        </w:tc>
        <w:tc>
          <w:tcPr>
            <w:tcW w:w="488" w:type="pct"/>
            <w:vMerge w:val="continue"/>
            <w:shd w:val="clear" w:color="auto" w:fill="auto"/>
            <w:vAlign w:val="center"/>
          </w:tcPr>
          <w:p w14:paraId="4A677590">
            <w:pPr>
              <w:widowControl/>
              <w:spacing w:line="320" w:lineRule="exact"/>
              <w:jc w:val="center"/>
              <w:rPr>
                <w:rFonts w:hint="eastAsia" w:ascii="黑体" w:hAnsi="宋体" w:eastAsia="黑体" w:cs="黑体"/>
                <w:color w:val="000000"/>
                <w:sz w:val="20"/>
                <w:szCs w:val="20"/>
              </w:rPr>
            </w:pPr>
          </w:p>
        </w:tc>
        <w:tc>
          <w:tcPr>
            <w:tcW w:w="662" w:type="pct"/>
            <w:vMerge w:val="continue"/>
            <w:shd w:val="clear" w:color="auto" w:fill="auto"/>
            <w:vAlign w:val="center"/>
          </w:tcPr>
          <w:p w14:paraId="3F37B63A">
            <w:pPr>
              <w:widowControl/>
              <w:spacing w:line="320" w:lineRule="exact"/>
              <w:jc w:val="center"/>
              <w:rPr>
                <w:rFonts w:hint="eastAsia" w:ascii="黑体" w:hAnsi="宋体" w:eastAsia="黑体" w:cs="黑体"/>
                <w:color w:val="000000"/>
                <w:sz w:val="20"/>
                <w:szCs w:val="20"/>
              </w:rPr>
            </w:pPr>
          </w:p>
        </w:tc>
        <w:tc>
          <w:tcPr>
            <w:tcW w:w="3413" w:type="pct"/>
            <w:shd w:val="clear" w:color="auto" w:fill="auto"/>
            <w:vAlign w:val="center"/>
          </w:tcPr>
          <w:p w14:paraId="64AE4A71">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（二）《中心城区住宅市场周度简报》</w:t>
            </w:r>
          </w:p>
        </w:tc>
      </w:tr>
      <w:tr w14:paraId="70B7F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5" w:type="pct"/>
            <w:vMerge w:val="continue"/>
            <w:shd w:val="clear" w:color="auto" w:fill="auto"/>
            <w:vAlign w:val="center"/>
          </w:tcPr>
          <w:p w14:paraId="519F072F">
            <w:pPr>
              <w:widowControl/>
              <w:spacing w:line="320" w:lineRule="exact"/>
              <w:jc w:val="center"/>
              <w:rPr>
                <w:rFonts w:hint="eastAsia" w:ascii="黑体" w:hAnsi="宋体" w:eastAsia="黑体" w:cs="黑体"/>
                <w:color w:val="000000"/>
                <w:sz w:val="20"/>
                <w:szCs w:val="20"/>
              </w:rPr>
            </w:pPr>
          </w:p>
        </w:tc>
        <w:tc>
          <w:tcPr>
            <w:tcW w:w="488" w:type="pct"/>
            <w:vMerge w:val="continue"/>
            <w:shd w:val="clear" w:color="auto" w:fill="auto"/>
            <w:vAlign w:val="center"/>
          </w:tcPr>
          <w:p w14:paraId="5E415B70">
            <w:pPr>
              <w:widowControl/>
              <w:spacing w:line="320" w:lineRule="exact"/>
              <w:jc w:val="center"/>
              <w:rPr>
                <w:rFonts w:hint="eastAsia" w:ascii="黑体" w:hAnsi="宋体" w:eastAsia="黑体" w:cs="黑体"/>
                <w:color w:val="000000"/>
                <w:sz w:val="20"/>
                <w:szCs w:val="20"/>
              </w:rPr>
            </w:pPr>
          </w:p>
        </w:tc>
        <w:tc>
          <w:tcPr>
            <w:tcW w:w="662" w:type="pct"/>
            <w:vMerge w:val="continue"/>
            <w:shd w:val="clear" w:color="auto" w:fill="auto"/>
            <w:vAlign w:val="center"/>
          </w:tcPr>
          <w:p w14:paraId="17FA912C">
            <w:pPr>
              <w:widowControl/>
              <w:spacing w:line="320" w:lineRule="exact"/>
              <w:jc w:val="center"/>
              <w:rPr>
                <w:rFonts w:hint="eastAsia" w:ascii="黑体" w:hAnsi="宋体" w:eastAsia="黑体" w:cs="黑体"/>
                <w:color w:val="000000"/>
                <w:sz w:val="20"/>
                <w:szCs w:val="20"/>
              </w:rPr>
            </w:pPr>
          </w:p>
        </w:tc>
        <w:tc>
          <w:tcPr>
            <w:tcW w:w="3413" w:type="pct"/>
            <w:shd w:val="clear" w:color="auto" w:fill="auto"/>
            <w:vAlign w:val="center"/>
          </w:tcPr>
          <w:p w14:paraId="0E531D9E">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（三）《中心城区及竞品板块周度简报》</w:t>
            </w:r>
          </w:p>
        </w:tc>
      </w:tr>
      <w:tr w14:paraId="4CA59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5" w:type="pct"/>
            <w:vMerge w:val="continue"/>
            <w:shd w:val="clear" w:color="auto" w:fill="auto"/>
            <w:vAlign w:val="center"/>
          </w:tcPr>
          <w:p w14:paraId="7DF7B91F">
            <w:pPr>
              <w:widowControl/>
              <w:spacing w:line="320" w:lineRule="exact"/>
              <w:jc w:val="center"/>
              <w:rPr>
                <w:rFonts w:hint="eastAsia" w:ascii="黑体" w:hAnsi="宋体" w:eastAsia="黑体" w:cs="黑体"/>
                <w:color w:val="000000"/>
                <w:sz w:val="20"/>
                <w:szCs w:val="20"/>
              </w:rPr>
            </w:pPr>
          </w:p>
        </w:tc>
        <w:tc>
          <w:tcPr>
            <w:tcW w:w="488" w:type="pct"/>
            <w:vMerge w:val="continue"/>
            <w:shd w:val="clear" w:color="auto" w:fill="auto"/>
            <w:vAlign w:val="center"/>
          </w:tcPr>
          <w:p w14:paraId="4F5BB6D8">
            <w:pPr>
              <w:widowControl/>
              <w:spacing w:line="320" w:lineRule="exact"/>
              <w:jc w:val="center"/>
              <w:rPr>
                <w:rFonts w:hint="eastAsia" w:ascii="黑体" w:hAnsi="宋体" w:eastAsia="黑体" w:cs="黑体"/>
                <w:color w:val="000000"/>
                <w:sz w:val="20"/>
                <w:szCs w:val="20"/>
              </w:rPr>
            </w:pPr>
          </w:p>
        </w:tc>
        <w:tc>
          <w:tcPr>
            <w:tcW w:w="662" w:type="pct"/>
            <w:vMerge w:val="restart"/>
            <w:shd w:val="clear" w:color="auto" w:fill="auto"/>
            <w:vAlign w:val="center"/>
          </w:tcPr>
          <w:p w14:paraId="38A8220E">
            <w:pPr>
              <w:widowControl/>
              <w:spacing w:line="320" w:lineRule="exact"/>
              <w:jc w:val="center"/>
              <w:textAlignment w:val="center"/>
              <w:rPr>
                <w:rFonts w:hint="eastAsia"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周度数据表</w:t>
            </w:r>
          </w:p>
          <w:p w14:paraId="22BD01F4">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（4个）</w:t>
            </w:r>
          </w:p>
        </w:tc>
        <w:tc>
          <w:tcPr>
            <w:tcW w:w="3413" w:type="pct"/>
            <w:shd w:val="clear" w:color="auto" w:fill="auto"/>
            <w:vAlign w:val="center"/>
          </w:tcPr>
          <w:p w14:paraId="174B60D8">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（一）南樾天宸-竞品成交数据跟踪</w:t>
            </w:r>
          </w:p>
        </w:tc>
      </w:tr>
      <w:tr w14:paraId="500C1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5" w:type="pct"/>
            <w:vMerge w:val="continue"/>
            <w:shd w:val="clear" w:color="auto" w:fill="auto"/>
            <w:vAlign w:val="center"/>
          </w:tcPr>
          <w:p w14:paraId="57D01DA0">
            <w:pPr>
              <w:widowControl/>
              <w:spacing w:line="320" w:lineRule="exact"/>
              <w:jc w:val="center"/>
              <w:rPr>
                <w:rFonts w:hint="eastAsia" w:ascii="黑体" w:hAnsi="宋体" w:eastAsia="黑体" w:cs="黑体"/>
                <w:color w:val="000000"/>
                <w:sz w:val="20"/>
                <w:szCs w:val="20"/>
              </w:rPr>
            </w:pPr>
          </w:p>
        </w:tc>
        <w:tc>
          <w:tcPr>
            <w:tcW w:w="488" w:type="pct"/>
            <w:vMerge w:val="continue"/>
            <w:shd w:val="clear" w:color="auto" w:fill="auto"/>
            <w:vAlign w:val="center"/>
          </w:tcPr>
          <w:p w14:paraId="02E5AFCB">
            <w:pPr>
              <w:widowControl/>
              <w:spacing w:line="320" w:lineRule="exact"/>
              <w:jc w:val="center"/>
              <w:rPr>
                <w:rFonts w:hint="eastAsia" w:ascii="黑体" w:hAnsi="宋体" w:eastAsia="黑体" w:cs="黑体"/>
                <w:color w:val="000000"/>
                <w:sz w:val="20"/>
                <w:szCs w:val="20"/>
              </w:rPr>
            </w:pPr>
          </w:p>
        </w:tc>
        <w:tc>
          <w:tcPr>
            <w:tcW w:w="662" w:type="pct"/>
            <w:vMerge w:val="continue"/>
            <w:shd w:val="clear" w:color="auto" w:fill="auto"/>
            <w:vAlign w:val="center"/>
          </w:tcPr>
          <w:p w14:paraId="05A9DE18">
            <w:pPr>
              <w:widowControl/>
              <w:spacing w:line="320" w:lineRule="exact"/>
              <w:jc w:val="center"/>
              <w:rPr>
                <w:rFonts w:hint="eastAsia" w:ascii="黑体" w:hAnsi="宋体" w:eastAsia="黑体" w:cs="黑体"/>
                <w:color w:val="000000"/>
                <w:sz w:val="20"/>
                <w:szCs w:val="20"/>
              </w:rPr>
            </w:pPr>
          </w:p>
        </w:tc>
        <w:tc>
          <w:tcPr>
            <w:tcW w:w="3413" w:type="pct"/>
            <w:shd w:val="clear" w:color="auto" w:fill="auto"/>
            <w:vAlign w:val="center"/>
          </w:tcPr>
          <w:p w14:paraId="1DC8A8E9">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（二）山与城-竞品成交数据跟踪</w:t>
            </w:r>
          </w:p>
        </w:tc>
      </w:tr>
      <w:tr w14:paraId="04D7F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5" w:type="pct"/>
            <w:vMerge w:val="continue"/>
            <w:shd w:val="clear" w:color="auto" w:fill="auto"/>
            <w:vAlign w:val="center"/>
          </w:tcPr>
          <w:p w14:paraId="11A342B0">
            <w:pPr>
              <w:widowControl/>
              <w:spacing w:line="320" w:lineRule="exact"/>
              <w:jc w:val="center"/>
              <w:rPr>
                <w:rFonts w:hint="eastAsia" w:ascii="黑体" w:hAnsi="宋体" w:eastAsia="黑体" w:cs="黑体"/>
                <w:color w:val="000000"/>
                <w:sz w:val="20"/>
                <w:szCs w:val="20"/>
              </w:rPr>
            </w:pPr>
          </w:p>
        </w:tc>
        <w:tc>
          <w:tcPr>
            <w:tcW w:w="488" w:type="pct"/>
            <w:vMerge w:val="continue"/>
            <w:shd w:val="clear" w:color="auto" w:fill="auto"/>
            <w:vAlign w:val="center"/>
          </w:tcPr>
          <w:p w14:paraId="5F267F5E">
            <w:pPr>
              <w:widowControl/>
              <w:spacing w:line="320" w:lineRule="exact"/>
              <w:jc w:val="center"/>
              <w:rPr>
                <w:rFonts w:hint="eastAsia" w:ascii="黑体" w:hAnsi="宋体" w:eastAsia="黑体" w:cs="黑体"/>
                <w:color w:val="000000"/>
                <w:sz w:val="20"/>
                <w:szCs w:val="20"/>
              </w:rPr>
            </w:pPr>
          </w:p>
        </w:tc>
        <w:tc>
          <w:tcPr>
            <w:tcW w:w="662" w:type="pct"/>
            <w:vMerge w:val="continue"/>
            <w:shd w:val="clear" w:color="auto" w:fill="auto"/>
            <w:vAlign w:val="center"/>
          </w:tcPr>
          <w:p w14:paraId="6DAF4525">
            <w:pPr>
              <w:widowControl/>
              <w:spacing w:line="320" w:lineRule="exact"/>
              <w:jc w:val="center"/>
              <w:rPr>
                <w:rFonts w:hint="eastAsia" w:ascii="黑体" w:hAnsi="宋体" w:eastAsia="黑体" w:cs="黑体"/>
                <w:color w:val="000000"/>
                <w:sz w:val="20"/>
                <w:szCs w:val="20"/>
              </w:rPr>
            </w:pPr>
          </w:p>
        </w:tc>
        <w:tc>
          <w:tcPr>
            <w:tcW w:w="3413" w:type="pct"/>
            <w:shd w:val="clear" w:color="auto" w:fill="auto"/>
            <w:vAlign w:val="center"/>
          </w:tcPr>
          <w:p w14:paraId="7B1FD06B">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（三）贯金和府-竞品成交数据跟踪</w:t>
            </w:r>
          </w:p>
        </w:tc>
      </w:tr>
      <w:tr w14:paraId="61F73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5" w:type="pct"/>
            <w:vMerge w:val="continue"/>
            <w:shd w:val="clear" w:color="auto" w:fill="auto"/>
            <w:vAlign w:val="center"/>
          </w:tcPr>
          <w:p w14:paraId="542E5ADE">
            <w:pPr>
              <w:widowControl/>
              <w:spacing w:line="320" w:lineRule="exact"/>
              <w:jc w:val="center"/>
              <w:rPr>
                <w:rFonts w:hint="eastAsia" w:ascii="黑体" w:hAnsi="宋体" w:eastAsia="黑体" w:cs="黑体"/>
                <w:color w:val="000000"/>
                <w:sz w:val="20"/>
                <w:szCs w:val="20"/>
              </w:rPr>
            </w:pPr>
          </w:p>
        </w:tc>
        <w:tc>
          <w:tcPr>
            <w:tcW w:w="488" w:type="pct"/>
            <w:vMerge w:val="continue"/>
            <w:shd w:val="clear" w:color="auto" w:fill="auto"/>
            <w:vAlign w:val="center"/>
          </w:tcPr>
          <w:p w14:paraId="09BED571">
            <w:pPr>
              <w:widowControl/>
              <w:spacing w:line="320" w:lineRule="exact"/>
              <w:jc w:val="center"/>
              <w:rPr>
                <w:rFonts w:hint="eastAsia" w:ascii="黑体" w:hAnsi="宋体" w:eastAsia="黑体" w:cs="黑体"/>
                <w:color w:val="000000"/>
                <w:sz w:val="20"/>
                <w:szCs w:val="20"/>
              </w:rPr>
            </w:pPr>
          </w:p>
        </w:tc>
        <w:tc>
          <w:tcPr>
            <w:tcW w:w="662" w:type="pct"/>
            <w:vMerge w:val="continue"/>
            <w:shd w:val="clear" w:color="auto" w:fill="auto"/>
            <w:vAlign w:val="center"/>
          </w:tcPr>
          <w:p w14:paraId="1DC22AEA">
            <w:pPr>
              <w:widowControl/>
              <w:spacing w:line="320" w:lineRule="exact"/>
              <w:jc w:val="center"/>
              <w:rPr>
                <w:rFonts w:hint="eastAsia" w:ascii="黑体" w:hAnsi="宋体" w:eastAsia="黑体" w:cs="黑体"/>
                <w:color w:val="000000"/>
                <w:sz w:val="20"/>
                <w:szCs w:val="20"/>
              </w:rPr>
            </w:pPr>
          </w:p>
        </w:tc>
        <w:tc>
          <w:tcPr>
            <w:tcW w:w="3413" w:type="pct"/>
            <w:shd w:val="clear" w:color="auto" w:fill="auto"/>
            <w:vAlign w:val="center"/>
          </w:tcPr>
          <w:p w14:paraId="70D4C41D">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（四）星河one/星河博棠-竞品成交数据跟踪</w:t>
            </w:r>
          </w:p>
        </w:tc>
      </w:tr>
      <w:tr w14:paraId="77433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trPr>
        <w:tc>
          <w:tcPr>
            <w:tcW w:w="435" w:type="pct"/>
            <w:vMerge w:val="restart"/>
            <w:shd w:val="clear" w:color="auto" w:fill="auto"/>
            <w:vAlign w:val="center"/>
          </w:tcPr>
          <w:p w14:paraId="0944AEAF">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2</w:t>
            </w:r>
          </w:p>
        </w:tc>
        <w:tc>
          <w:tcPr>
            <w:tcW w:w="488" w:type="pct"/>
            <w:vMerge w:val="restart"/>
            <w:shd w:val="clear" w:color="auto" w:fill="auto"/>
            <w:vAlign w:val="center"/>
          </w:tcPr>
          <w:p w14:paraId="277FA891">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月度</w:t>
            </w:r>
          </w:p>
        </w:tc>
        <w:tc>
          <w:tcPr>
            <w:tcW w:w="662" w:type="pct"/>
            <w:vMerge w:val="restart"/>
            <w:shd w:val="clear" w:color="auto" w:fill="auto"/>
            <w:vAlign w:val="center"/>
          </w:tcPr>
          <w:p w14:paraId="6EC25088">
            <w:pPr>
              <w:widowControl/>
              <w:spacing w:line="320" w:lineRule="exact"/>
              <w:jc w:val="center"/>
              <w:textAlignment w:val="center"/>
              <w:rPr>
                <w:rFonts w:hint="eastAsia"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普通月报</w:t>
            </w:r>
          </w:p>
          <w:p w14:paraId="4E6E72BB">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（5个）</w:t>
            </w:r>
          </w:p>
        </w:tc>
        <w:tc>
          <w:tcPr>
            <w:tcW w:w="3413" w:type="pct"/>
            <w:shd w:val="clear" w:color="auto" w:fill="auto"/>
            <w:vAlign w:val="center"/>
          </w:tcPr>
          <w:p w14:paraId="61784104">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（一）《月度重庆房地产市场研究报告》（PPT）</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1、宏观环境</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2、房产市场</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3、土地市场</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4、开盘监测</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5、营销动态</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6、总结预判</w:t>
            </w:r>
          </w:p>
        </w:tc>
      </w:tr>
      <w:tr w14:paraId="7D8C9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trPr>
        <w:tc>
          <w:tcPr>
            <w:tcW w:w="435" w:type="pct"/>
            <w:vMerge w:val="continue"/>
            <w:shd w:val="clear" w:color="auto" w:fill="auto"/>
            <w:vAlign w:val="center"/>
          </w:tcPr>
          <w:p w14:paraId="46B1517D">
            <w:pPr>
              <w:widowControl/>
              <w:spacing w:line="320" w:lineRule="exact"/>
              <w:jc w:val="center"/>
              <w:rPr>
                <w:rFonts w:hint="eastAsia" w:ascii="黑体" w:hAnsi="宋体" w:eastAsia="黑体" w:cs="黑体"/>
                <w:color w:val="000000"/>
                <w:sz w:val="20"/>
                <w:szCs w:val="20"/>
              </w:rPr>
            </w:pPr>
          </w:p>
        </w:tc>
        <w:tc>
          <w:tcPr>
            <w:tcW w:w="488" w:type="pct"/>
            <w:vMerge w:val="continue"/>
            <w:shd w:val="clear" w:color="auto" w:fill="auto"/>
            <w:vAlign w:val="center"/>
          </w:tcPr>
          <w:p w14:paraId="2381DC75">
            <w:pPr>
              <w:widowControl/>
              <w:spacing w:line="320" w:lineRule="exact"/>
              <w:jc w:val="center"/>
              <w:rPr>
                <w:rFonts w:hint="eastAsia" w:ascii="黑体" w:hAnsi="宋体" w:eastAsia="黑体" w:cs="黑体"/>
                <w:color w:val="000000"/>
                <w:sz w:val="20"/>
                <w:szCs w:val="20"/>
              </w:rPr>
            </w:pPr>
          </w:p>
        </w:tc>
        <w:tc>
          <w:tcPr>
            <w:tcW w:w="662" w:type="pct"/>
            <w:vMerge w:val="continue"/>
            <w:shd w:val="clear" w:color="auto" w:fill="auto"/>
            <w:vAlign w:val="center"/>
          </w:tcPr>
          <w:p w14:paraId="2C41D42D">
            <w:pPr>
              <w:widowControl/>
              <w:spacing w:line="320" w:lineRule="exact"/>
              <w:jc w:val="center"/>
              <w:rPr>
                <w:rFonts w:hint="eastAsia" w:ascii="黑体" w:hAnsi="宋体" w:eastAsia="黑体" w:cs="黑体"/>
                <w:color w:val="000000"/>
                <w:sz w:val="20"/>
                <w:szCs w:val="20"/>
              </w:rPr>
            </w:pPr>
          </w:p>
        </w:tc>
        <w:tc>
          <w:tcPr>
            <w:tcW w:w="3413" w:type="pct"/>
            <w:shd w:val="clear" w:color="auto" w:fill="auto"/>
            <w:vAlign w:val="center"/>
          </w:tcPr>
          <w:p w14:paraId="059C1C1A">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（二）《月度重庆市房地产市场汇总报告》（Word）</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1、市场综述</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2、最新政策法规</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3、地产资讯汇编</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4、土地供应成交分析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5、新开盘（加推）综述</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6、商品房供应成交分析</w:t>
            </w:r>
          </w:p>
        </w:tc>
      </w:tr>
      <w:tr w14:paraId="2FDE5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435" w:type="pct"/>
            <w:vMerge w:val="continue"/>
            <w:shd w:val="clear" w:color="auto" w:fill="auto"/>
            <w:vAlign w:val="center"/>
          </w:tcPr>
          <w:p w14:paraId="7FAD6A03">
            <w:pPr>
              <w:widowControl/>
              <w:spacing w:line="320" w:lineRule="exact"/>
              <w:jc w:val="center"/>
              <w:rPr>
                <w:rFonts w:hint="eastAsia" w:ascii="黑体" w:hAnsi="宋体" w:eastAsia="黑体" w:cs="黑体"/>
                <w:color w:val="000000"/>
                <w:sz w:val="20"/>
                <w:szCs w:val="20"/>
              </w:rPr>
            </w:pPr>
          </w:p>
        </w:tc>
        <w:tc>
          <w:tcPr>
            <w:tcW w:w="488" w:type="pct"/>
            <w:vMerge w:val="continue"/>
            <w:shd w:val="clear" w:color="auto" w:fill="auto"/>
            <w:vAlign w:val="center"/>
          </w:tcPr>
          <w:p w14:paraId="209AB8E9">
            <w:pPr>
              <w:widowControl/>
              <w:spacing w:line="320" w:lineRule="exact"/>
              <w:jc w:val="center"/>
              <w:rPr>
                <w:rFonts w:hint="eastAsia" w:ascii="黑体" w:hAnsi="宋体" w:eastAsia="黑体" w:cs="黑体"/>
                <w:color w:val="000000"/>
                <w:sz w:val="20"/>
                <w:szCs w:val="20"/>
              </w:rPr>
            </w:pPr>
          </w:p>
        </w:tc>
        <w:tc>
          <w:tcPr>
            <w:tcW w:w="662" w:type="pct"/>
            <w:vMerge w:val="continue"/>
            <w:shd w:val="clear" w:color="auto" w:fill="auto"/>
            <w:vAlign w:val="center"/>
          </w:tcPr>
          <w:p w14:paraId="78276D9E">
            <w:pPr>
              <w:widowControl/>
              <w:spacing w:line="320" w:lineRule="exact"/>
              <w:jc w:val="center"/>
              <w:rPr>
                <w:rFonts w:hint="eastAsia" w:ascii="黑体" w:hAnsi="宋体" w:eastAsia="黑体" w:cs="黑体"/>
                <w:color w:val="000000"/>
                <w:sz w:val="20"/>
                <w:szCs w:val="20"/>
              </w:rPr>
            </w:pPr>
          </w:p>
        </w:tc>
        <w:tc>
          <w:tcPr>
            <w:tcW w:w="3413" w:type="pct"/>
            <w:shd w:val="clear" w:color="auto" w:fill="auto"/>
            <w:vAlign w:val="center"/>
          </w:tcPr>
          <w:p w14:paraId="4511B236">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（三）《月度土地市场报告》（PPT）</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1、年度趋势</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2、成交结构</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3、月度供应分析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4、月度成交分析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5、下月土拍预告</w:t>
            </w:r>
          </w:p>
        </w:tc>
      </w:tr>
      <w:tr w14:paraId="18247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435" w:type="pct"/>
            <w:vMerge w:val="continue"/>
            <w:shd w:val="clear" w:color="auto" w:fill="auto"/>
            <w:vAlign w:val="center"/>
          </w:tcPr>
          <w:p w14:paraId="5C191E04">
            <w:pPr>
              <w:widowControl/>
              <w:spacing w:line="320" w:lineRule="exact"/>
              <w:jc w:val="center"/>
              <w:rPr>
                <w:rFonts w:hint="eastAsia" w:ascii="黑体" w:hAnsi="宋体" w:eastAsia="黑体" w:cs="黑体"/>
                <w:color w:val="000000"/>
                <w:sz w:val="20"/>
                <w:szCs w:val="20"/>
              </w:rPr>
            </w:pPr>
          </w:p>
        </w:tc>
        <w:tc>
          <w:tcPr>
            <w:tcW w:w="488" w:type="pct"/>
            <w:vMerge w:val="continue"/>
            <w:shd w:val="clear" w:color="auto" w:fill="auto"/>
            <w:vAlign w:val="center"/>
          </w:tcPr>
          <w:p w14:paraId="697FC032">
            <w:pPr>
              <w:widowControl/>
              <w:spacing w:line="320" w:lineRule="exact"/>
              <w:jc w:val="center"/>
              <w:rPr>
                <w:rFonts w:hint="eastAsia" w:ascii="黑体" w:hAnsi="宋体" w:eastAsia="黑体" w:cs="黑体"/>
                <w:color w:val="000000"/>
                <w:sz w:val="20"/>
                <w:szCs w:val="20"/>
              </w:rPr>
            </w:pPr>
          </w:p>
        </w:tc>
        <w:tc>
          <w:tcPr>
            <w:tcW w:w="662" w:type="pct"/>
            <w:vMerge w:val="continue"/>
            <w:shd w:val="clear" w:color="auto" w:fill="auto"/>
            <w:vAlign w:val="center"/>
          </w:tcPr>
          <w:p w14:paraId="120A8665">
            <w:pPr>
              <w:widowControl/>
              <w:spacing w:line="320" w:lineRule="exact"/>
              <w:jc w:val="center"/>
              <w:rPr>
                <w:rFonts w:hint="eastAsia" w:ascii="黑体" w:hAnsi="宋体" w:eastAsia="黑体" w:cs="黑体"/>
                <w:color w:val="000000"/>
                <w:sz w:val="20"/>
                <w:szCs w:val="20"/>
              </w:rPr>
            </w:pPr>
          </w:p>
        </w:tc>
        <w:tc>
          <w:tcPr>
            <w:tcW w:w="3413" w:type="pct"/>
            <w:shd w:val="clear" w:color="auto" w:fill="auto"/>
            <w:vAlign w:val="center"/>
          </w:tcPr>
          <w:p w14:paraId="62DBB99B">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（四）《月度商品房市场供应成交结构分析报告》（PPT）</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1、月度商品房市场综述</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2、月度商品房市场供需分析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3、月度商品房市场成交结构分析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4、月度商品房市场区域分析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5、月度业态市场分析</w:t>
            </w:r>
          </w:p>
        </w:tc>
      </w:tr>
      <w:tr w14:paraId="3BE3C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435" w:type="pct"/>
            <w:vMerge w:val="continue"/>
            <w:shd w:val="clear" w:color="auto" w:fill="auto"/>
            <w:vAlign w:val="center"/>
          </w:tcPr>
          <w:p w14:paraId="6B586B38">
            <w:pPr>
              <w:widowControl/>
              <w:spacing w:line="320" w:lineRule="exact"/>
              <w:jc w:val="center"/>
              <w:rPr>
                <w:rFonts w:hint="eastAsia" w:ascii="黑体" w:hAnsi="宋体" w:eastAsia="黑体" w:cs="黑体"/>
                <w:color w:val="000000"/>
                <w:sz w:val="20"/>
                <w:szCs w:val="20"/>
              </w:rPr>
            </w:pPr>
          </w:p>
        </w:tc>
        <w:tc>
          <w:tcPr>
            <w:tcW w:w="488" w:type="pct"/>
            <w:vMerge w:val="continue"/>
            <w:shd w:val="clear" w:color="auto" w:fill="auto"/>
            <w:vAlign w:val="center"/>
          </w:tcPr>
          <w:p w14:paraId="21BEC389">
            <w:pPr>
              <w:widowControl/>
              <w:spacing w:line="320" w:lineRule="exact"/>
              <w:jc w:val="center"/>
              <w:rPr>
                <w:rFonts w:hint="eastAsia" w:ascii="黑体" w:hAnsi="宋体" w:eastAsia="黑体" w:cs="黑体"/>
                <w:color w:val="000000"/>
                <w:sz w:val="20"/>
                <w:szCs w:val="20"/>
              </w:rPr>
            </w:pPr>
          </w:p>
        </w:tc>
        <w:tc>
          <w:tcPr>
            <w:tcW w:w="662" w:type="pct"/>
            <w:vMerge w:val="continue"/>
            <w:shd w:val="clear" w:color="auto" w:fill="auto"/>
            <w:vAlign w:val="center"/>
          </w:tcPr>
          <w:p w14:paraId="02B3C241">
            <w:pPr>
              <w:widowControl/>
              <w:spacing w:line="320" w:lineRule="exact"/>
              <w:jc w:val="center"/>
              <w:rPr>
                <w:rFonts w:hint="eastAsia" w:ascii="黑体" w:hAnsi="宋体" w:eastAsia="黑体" w:cs="黑体"/>
                <w:color w:val="000000"/>
                <w:sz w:val="20"/>
                <w:szCs w:val="20"/>
              </w:rPr>
            </w:pPr>
          </w:p>
        </w:tc>
        <w:tc>
          <w:tcPr>
            <w:tcW w:w="3413" w:type="pct"/>
            <w:shd w:val="clear" w:color="auto" w:fill="auto"/>
            <w:vAlign w:val="center"/>
          </w:tcPr>
          <w:p w14:paraId="685E328E">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（五）《月度重庆城市及交通规划分析报告》（PPT）</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1、月度重庆城市及交通规划动态汇总</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2、月度规划、重大项目相关焦点资讯汇总</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3、本月主城区控制性规划详细调整信息汇总</w:t>
            </w:r>
          </w:p>
        </w:tc>
      </w:tr>
      <w:tr w14:paraId="60149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435" w:type="pct"/>
            <w:vMerge w:val="continue"/>
            <w:shd w:val="clear" w:color="auto" w:fill="auto"/>
            <w:vAlign w:val="center"/>
          </w:tcPr>
          <w:p w14:paraId="1FB54A31">
            <w:pPr>
              <w:widowControl/>
              <w:spacing w:line="320" w:lineRule="exact"/>
              <w:jc w:val="center"/>
              <w:rPr>
                <w:rFonts w:hint="eastAsia" w:ascii="黑体" w:hAnsi="宋体" w:eastAsia="黑体" w:cs="黑体"/>
                <w:color w:val="000000"/>
                <w:sz w:val="20"/>
                <w:szCs w:val="20"/>
              </w:rPr>
            </w:pPr>
          </w:p>
        </w:tc>
        <w:tc>
          <w:tcPr>
            <w:tcW w:w="488" w:type="pct"/>
            <w:vMerge w:val="continue"/>
            <w:shd w:val="clear" w:color="auto" w:fill="auto"/>
            <w:vAlign w:val="center"/>
          </w:tcPr>
          <w:p w14:paraId="7452DA03">
            <w:pPr>
              <w:widowControl/>
              <w:spacing w:line="320" w:lineRule="exact"/>
              <w:jc w:val="center"/>
              <w:rPr>
                <w:rFonts w:hint="eastAsia" w:ascii="黑体" w:hAnsi="宋体" w:eastAsia="黑体" w:cs="黑体"/>
                <w:color w:val="000000"/>
                <w:sz w:val="20"/>
                <w:szCs w:val="20"/>
              </w:rPr>
            </w:pPr>
          </w:p>
        </w:tc>
        <w:tc>
          <w:tcPr>
            <w:tcW w:w="662" w:type="pct"/>
            <w:shd w:val="clear" w:color="auto" w:fill="auto"/>
            <w:vAlign w:val="center"/>
          </w:tcPr>
          <w:p w14:paraId="3F625F17">
            <w:pPr>
              <w:widowControl/>
              <w:spacing w:line="320" w:lineRule="exact"/>
              <w:jc w:val="center"/>
              <w:textAlignment w:val="center"/>
              <w:rPr>
                <w:rFonts w:hint="eastAsia"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专属月报</w:t>
            </w:r>
          </w:p>
          <w:p w14:paraId="6B47EA07">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（1个）</w:t>
            </w:r>
          </w:p>
        </w:tc>
        <w:tc>
          <w:tcPr>
            <w:tcW w:w="3413" w:type="pct"/>
            <w:shd w:val="clear" w:color="auto" w:fill="auto"/>
            <w:vAlign w:val="center"/>
          </w:tcPr>
          <w:p w14:paraId="7521ACE0">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《渝开发-核心项目周边竞争格局分析》</w:t>
            </w:r>
          </w:p>
        </w:tc>
      </w:tr>
      <w:tr w14:paraId="7DAA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435" w:type="pct"/>
            <w:vMerge w:val="continue"/>
            <w:shd w:val="clear" w:color="auto" w:fill="auto"/>
            <w:vAlign w:val="center"/>
          </w:tcPr>
          <w:p w14:paraId="2D25B569">
            <w:pPr>
              <w:widowControl/>
              <w:spacing w:line="320" w:lineRule="exact"/>
              <w:jc w:val="center"/>
              <w:rPr>
                <w:rFonts w:hint="eastAsia" w:ascii="黑体" w:hAnsi="宋体" w:eastAsia="黑体" w:cs="黑体"/>
                <w:color w:val="000000"/>
                <w:sz w:val="20"/>
                <w:szCs w:val="20"/>
              </w:rPr>
            </w:pPr>
          </w:p>
        </w:tc>
        <w:tc>
          <w:tcPr>
            <w:tcW w:w="488" w:type="pct"/>
            <w:vMerge w:val="continue"/>
            <w:shd w:val="clear" w:color="auto" w:fill="auto"/>
            <w:vAlign w:val="center"/>
          </w:tcPr>
          <w:p w14:paraId="656E05FD">
            <w:pPr>
              <w:widowControl/>
              <w:spacing w:line="320" w:lineRule="exact"/>
              <w:jc w:val="center"/>
              <w:rPr>
                <w:rFonts w:hint="eastAsia" w:ascii="黑体" w:hAnsi="宋体" w:eastAsia="黑体" w:cs="黑体"/>
                <w:color w:val="000000"/>
                <w:sz w:val="20"/>
                <w:szCs w:val="20"/>
              </w:rPr>
            </w:pPr>
          </w:p>
        </w:tc>
        <w:tc>
          <w:tcPr>
            <w:tcW w:w="662" w:type="pct"/>
            <w:shd w:val="clear" w:color="auto" w:fill="auto"/>
            <w:vAlign w:val="center"/>
          </w:tcPr>
          <w:p w14:paraId="219D6A34">
            <w:pPr>
              <w:widowControl/>
              <w:spacing w:line="320" w:lineRule="exact"/>
              <w:jc w:val="center"/>
              <w:textAlignment w:val="center"/>
              <w:rPr>
                <w:rFonts w:hint="eastAsia"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企业专属定制杂志</w:t>
            </w:r>
          </w:p>
          <w:p w14:paraId="6471C19D">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（9本）</w:t>
            </w:r>
          </w:p>
        </w:tc>
        <w:tc>
          <w:tcPr>
            <w:tcW w:w="3413" w:type="pct"/>
            <w:shd w:val="clear" w:color="auto" w:fill="auto"/>
            <w:vAlign w:val="center"/>
          </w:tcPr>
          <w:p w14:paraId="4AD8B38B">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《重庆市房地产市场动态月报》</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1、华岩、茶园、南山、蔡家、台商农业园区、西永六大板块市场分析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2、重庆中心城区房地产市场分析</w:t>
            </w:r>
          </w:p>
        </w:tc>
      </w:tr>
      <w:tr w14:paraId="1B277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trPr>
        <w:tc>
          <w:tcPr>
            <w:tcW w:w="435" w:type="pct"/>
            <w:shd w:val="clear" w:color="auto" w:fill="auto"/>
            <w:vAlign w:val="center"/>
          </w:tcPr>
          <w:p w14:paraId="1B9FCB59">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3</w:t>
            </w:r>
          </w:p>
        </w:tc>
        <w:tc>
          <w:tcPr>
            <w:tcW w:w="488" w:type="pct"/>
            <w:shd w:val="clear" w:color="auto" w:fill="auto"/>
            <w:vAlign w:val="center"/>
          </w:tcPr>
          <w:p w14:paraId="12C6D5CC">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季度</w:t>
            </w:r>
          </w:p>
        </w:tc>
        <w:tc>
          <w:tcPr>
            <w:tcW w:w="662" w:type="pct"/>
            <w:shd w:val="clear" w:color="auto" w:fill="auto"/>
            <w:vAlign w:val="center"/>
          </w:tcPr>
          <w:p w14:paraId="2A6344F1">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专属季报</w:t>
            </w:r>
          </w:p>
        </w:tc>
        <w:tc>
          <w:tcPr>
            <w:tcW w:w="3413" w:type="pct"/>
            <w:shd w:val="clear" w:color="auto" w:fill="auto"/>
            <w:vAlign w:val="center"/>
          </w:tcPr>
          <w:p w14:paraId="5082C92B">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《重庆市场分析及五大竞品板块分析报告》</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1、宏观政策、经济环境</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2、新房市场分析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3、二手房市场分析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4、土地市场分析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5、中心城区项目开盘监测</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7、五大竞品板块分析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8、趋势预测</w:t>
            </w:r>
          </w:p>
        </w:tc>
      </w:tr>
      <w:tr w14:paraId="234E6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trPr>
        <w:tc>
          <w:tcPr>
            <w:tcW w:w="435" w:type="pct"/>
            <w:shd w:val="clear" w:color="auto" w:fill="auto"/>
            <w:vAlign w:val="center"/>
          </w:tcPr>
          <w:p w14:paraId="3010D589">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4</w:t>
            </w:r>
          </w:p>
        </w:tc>
        <w:tc>
          <w:tcPr>
            <w:tcW w:w="488" w:type="pct"/>
            <w:shd w:val="clear" w:color="auto" w:fill="auto"/>
            <w:vAlign w:val="center"/>
          </w:tcPr>
          <w:p w14:paraId="29C3BDE2">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年度</w:t>
            </w:r>
          </w:p>
        </w:tc>
        <w:tc>
          <w:tcPr>
            <w:tcW w:w="662" w:type="pct"/>
            <w:shd w:val="clear" w:color="auto" w:fill="auto"/>
            <w:vAlign w:val="center"/>
          </w:tcPr>
          <w:p w14:paraId="29847518">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专属年报</w:t>
            </w:r>
          </w:p>
        </w:tc>
        <w:tc>
          <w:tcPr>
            <w:tcW w:w="3413" w:type="pct"/>
            <w:shd w:val="clear" w:color="auto" w:fill="auto"/>
            <w:vAlign w:val="center"/>
          </w:tcPr>
          <w:p w14:paraId="18F16C70">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《重庆市场分析及五大竞品板块分析报告》</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1、宏观政策、经济环境</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2、新房市场分析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3、二手房市场分析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4、土地市场分析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5、中心城区项目开盘监测</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7、五大竞品板块分析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8、趋势预测</w:t>
            </w:r>
          </w:p>
        </w:tc>
      </w:tr>
      <w:tr w14:paraId="3ED68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435" w:type="pct"/>
            <w:vMerge w:val="restart"/>
            <w:shd w:val="clear" w:color="auto" w:fill="auto"/>
            <w:vAlign w:val="center"/>
          </w:tcPr>
          <w:p w14:paraId="7BF6E18C">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5</w:t>
            </w:r>
          </w:p>
        </w:tc>
        <w:tc>
          <w:tcPr>
            <w:tcW w:w="488" w:type="pct"/>
            <w:vMerge w:val="restart"/>
            <w:shd w:val="clear" w:color="auto" w:fill="auto"/>
            <w:vAlign w:val="center"/>
          </w:tcPr>
          <w:p w14:paraId="5CCC042E">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土地可研服务</w:t>
            </w:r>
          </w:p>
        </w:tc>
        <w:tc>
          <w:tcPr>
            <w:tcW w:w="662" w:type="pct"/>
            <w:shd w:val="clear" w:color="auto" w:fill="auto"/>
            <w:vAlign w:val="center"/>
          </w:tcPr>
          <w:p w14:paraId="7D9CB3D3">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报告类</w:t>
            </w:r>
          </w:p>
        </w:tc>
        <w:tc>
          <w:tcPr>
            <w:tcW w:w="3413" w:type="pct"/>
            <w:shd w:val="clear" w:color="auto" w:fill="auto"/>
            <w:vAlign w:val="center"/>
          </w:tcPr>
          <w:p w14:paraId="68EA08EB">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《地块定位初判报告》每年5-10个</w:t>
            </w:r>
          </w:p>
        </w:tc>
      </w:tr>
      <w:tr w14:paraId="66B53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1" w:hRule="atLeast"/>
        </w:trPr>
        <w:tc>
          <w:tcPr>
            <w:tcW w:w="435" w:type="pct"/>
            <w:vMerge w:val="continue"/>
            <w:shd w:val="clear" w:color="auto" w:fill="auto"/>
            <w:vAlign w:val="center"/>
          </w:tcPr>
          <w:p w14:paraId="27CDD5A4">
            <w:pPr>
              <w:widowControl/>
              <w:spacing w:line="320" w:lineRule="exact"/>
              <w:jc w:val="center"/>
              <w:rPr>
                <w:rFonts w:hint="eastAsia" w:ascii="黑体" w:hAnsi="宋体" w:eastAsia="黑体" w:cs="黑体"/>
                <w:color w:val="000000"/>
                <w:sz w:val="20"/>
                <w:szCs w:val="20"/>
              </w:rPr>
            </w:pPr>
          </w:p>
        </w:tc>
        <w:tc>
          <w:tcPr>
            <w:tcW w:w="488" w:type="pct"/>
            <w:vMerge w:val="continue"/>
            <w:shd w:val="clear" w:color="auto" w:fill="auto"/>
            <w:vAlign w:val="center"/>
          </w:tcPr>
          <w:p w14:paraId="09CE06E3">
            <w:pPr>
              <w:widowControl/>
              <w:spacing w:line="320" w:lineRule="exact"/>
              <w:jc w:val="center"/>
              <w:rPr>
                <w:rFonts w:hint="eastAsia" w:ascii="黑体" w:hAnsi="宋体" w:eastAsia="黑体" w:cs="黑体"/>
                <w:color w:val="000000"/>
                <w:sz w:val="20"/>
                <w:szCs w:val="20"/>
              </w:rPr>
            </w:pPr>
          </w:p>
        </w:tc>
        <w:tc>
          <w:tcPr>
            <w:tcW w:w="662" w:type="pct"/>
            <w:shd w:val="clear" w:color="auto" w:fill="auto"/>
            <w:vAlign w:val="center"/>
          </w:tcPr>
          <w:p w14:paraId="31BD4794">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配合服务</w:t>
            </w:r>
          </w:p>
        </w:tc>
        <w:tc>
          <w:tcPr>
            <w:tcW w:w="3413" w:type="pct"/>
            <w:shd w:val="clear" w:color="auto" w:fill="auto"/>
            <w:vAlign w:val="center"/>
          </w:tcPr>
          <w:p w14:paraId="4411027C">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1、根据比选人需求，提供重庆市主城区以外区域（含重庆区县及市外城市）满足可行性分析需求的土地、商品房市场数据咨询服务；</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2、针对比选人进入可研阶段的项目，提供满足比选人土地获取类项目可研报告模板深度要求的市场分析部分内容；</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3、数据类服务，应包含土地、商品房市场的各业态历年数据，历史变化趋势及未来一定时限内的变动预测，最好能按项目按需提供租赁市场数据；</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4、土地集中供地信息方面，应在正式公告前提供年度及每批次土地集中供地信息；</w:t>
            </w:r>
          </w:p>
        </w:tc>
      </w:tr>
      <w:tr w14:paraId="2E2CE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3" w:hRule="atLeast"/>
        </w:trPr>
        <w:tc>
          <w:tcPr>
            <w:tcW w:w="435" w:type="pct"/>
            <w:vMerge w:val="restart"/>
            <w:shd w:val="clear" w:color="auto" w:fill="auto"/>
            <w:vAlign w:val="center"/>
          </w:tcPr>
          <w:p w14:paraId="3D24AB65">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6</w:t>
            </w:r>
          </w:p>
        </w:tc>
        <w:tc>
          <w:tcPr>
            <w:tcW w:w="488" w:type="pct"/>
            <w:vMerge w:val="restart"/>
            <w:shd w:val="clear" w:color="auto" w:fill="auto"/>
            <w:vAlign w:val="center"/>
          </w:tcPr>
          <w:p w14:paraId="2917494E">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二手房、车库及商业市场服务</w:t>
            </w:r>
          </w:p>
        </w:tc>
        <w:tc>
          <w:tcPr>
            <w:tcW w:w="662" w:type="pct"/>
            <w:shd w:val="clear" w:color="auto" w:fill="auto"/>
            <w:vAlign w:val="center"/>
          </w:tcPr>
          <w:p w14:paraId="79A86F68">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二手房</w:t>
            </w:r>
          </w:p>
        </w:tc>
        <w:tc>
          <w:tcPr>
            <w:tcW w:w="3413" w:type="pct"/>
            <w:shd w:val="clear" w:color="auto" w:fill="auto"/>
            <w:vAlign w:val="center"/>
          </w:tcPr>
          <w:p w14:paraId="48E911B9">
            <w:pPr>
              <w:widowControl/>
              <w:numPr>
                <w:ilvl w:val="0"/>
                <w:numId w:val="4"/>
              </w:numPr>
              <w:spacing w:line="320" w:lineRule="exact"/>
              <w:jc w:val="left"/>
              <w:textAlignment w:val="center"/>
              <w:rPr>
                <w:rFonts w:hint="eastAsia"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重庆市中心城区二手房市场查询及报告撰写服务（可根据需求服务）</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1、市场供应及存量规模分析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3、存量</w:t>
            </w:r>
          </w:p>
          <w:p w14:paraId="14A965A5">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2、月度存量可售规模分析结构分析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4、市场成交分析市场特征分析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a.市场供应：新增房源和新增客源比例和数量分析、新增挂牌价格及客户预期分析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b.市场成交：套均面积和套均总价趋势分析、溢价空间分析、客户成交周期分析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c.带看情况分析：带看客源量走势</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d.客户画像：年龄层面客户占比、客户所属区域占比</w:t>
            </w:r>
          </w:p>
        </w:tc>
      </w:tr>
      <w:tr w14:paraId="4BB00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435" w:type="pct"/>
            <w:vMerge w:val="continue"/>
            <w:shd w:val="clear" w:color="auto" w:fill="auto"/>
            <w:vAlign w:val="center"/>
          </w:tcPr>
          <w:p w14:paraId="0B07D7FD">
            <w:pPr>
              <w:widowControl/>
              <w:spacing w:line="320" w:lineRule="exact"/>
              <w:jc w:val="center"/>
              <w:rPr>
                <w:rFonts w:hint="eastAsia" w:ascii="黑体" w:hAnsi="宋体" w:eastAsia="黑体" w:cs="黑体"/>
                <w:color w:val="000000"/>
                <w:sz w:val="20"/>
                <w:szCs w:val="20"/>
              </w:rPr>
            </w:pPr>
          </w:p>
        </w:tc>
        <w:tc>
          <w:tcPr>
            <w:tcW w:w="488" w:type="pct"/>
            <w:vMerge w:val="continue"/>
            <w:shd w:val="clear" w:color="auto" w:fill="auto"/>
            <w:vAlign w:val="center"/>
          </w:tcPr>
          <w:p w14:paraId="30AB35A1">
            <w:pPr>
              <w:widowControl/>
              <w:spacing w:line="320" w:lineRule="exact"/>
              <w:jc w:val="center"/>
              <w:rPr>
                <w:rFonts w:hint="eastAsia" w:ascii="黑体" w:hAnsi="宋体" w:eastAsia="黑体" w:cs="黑体"/>
                <w:color w:val="000000"/>
                <w:sz w:val="20"/>
                <w:szCs w:val="20"/>
              </w:rPr>
            </w:pPr>
          </w:p>
        </w:tc>
        <w:tc>
          <w:tcPr>
            <w:tcW w:w="662" w:type="pct"/>
            <w:shd w:val="clear" w:color="auto" w:fill="auto"/>
            <w:vAlign w:val="center"/>
          </w:tcPr>
          <w:p w14:paraId="3BB91879">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车库及商业市场</w:t>
            </w:r>
          </w:p>
        </w:tc>
        <w:tc>
          <w:tcPr>
            <w:tcW w:w="3413" w:type="pct"/>
            <w:shd w:val="clear" w:color="auto" w:fill="auto"/>
            <w:vAlign w:val="center"/>
          </w:tcPr>
          <w:p w14:paraId="423A1E5D">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（二）重庆市中心城区车库及商业市场数据查询及报告撰写服务（可根据需求服务）</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(1)市场供应及成交规模分析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(2)月度存量可售规模分析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(3)存量结构分析</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(4)指定项目供求分析</w:t>
            </w:r>
          </w:p>
        </w:tc>
      </w:tr>
      <w:tr w14:paraId="53690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5" w:type="pct"/>
            <w:shd w:val="clear" w:color="auto" w:fill="auto"/>
            <w:vAlign w:val="center"/>
          </w:tcPr>
          <w:p w14:paraId="37E2C97F">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7</w:t>
            </w:r>
          </w:p>
        </w:tc>
        <w:tc>
          <w:tcPr>
            <w:tcW w:w="488" w:type="pct"/>
            <w:shd w:val="clear" w:color="auto" w:fill="auto"/>
            <w:vAlign w:val="center"/>
          </w:tcPr>
          <w:p w14:paraId="0CBF02AA">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重庆区县</w:t>
            </w:r>
          </w:p>
        </w:tc>
        <w:tc>
          <w:tcPr>
            <w:tcW w:w="662" w:type="pct"/>
            <w:shd w:val="clear" w:color="auto" w:fill="auto"/>
            <w:vAlign w:val="center"/>
          </w:tcPr>
          <w:p w14:paraId="26CEA51F">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新房数据</w:t>
            </w:r>
          </w:p>
        </w:tc>
        <w:tc>
          <w:tcPr>
            <w:tcW w:w="3413" w:type="pct"/>
            <w:shd w:val="clear" w:color="auto" w:fill="auto"/>
            <w:vAlign w:val="center"/>
          </w:tcPr>
          <w:p w14:paraId="555399DF">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重庆各区县新房数据，涵盖月度成交数据、业态成交数据、项目成交数据</w:t>
            </w:r>
          </w:p>
        </w:tc>
      </w:tr>
      <w:tr w14:paraId="24A3E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5" w:type="pct"/>
            <w:shd w:val="clear" w:color="auto" w:fill="auto"/>
            <w:vAlign w:val="center"/>
          </w:tcPr>
          <w:p w14:paraId="4E696801">
            <w:pPr>
              <w:widowControl/>
              <w:spacing w:line="320" w:lineRule="exact"/>
              <w:jc w:val="center"/>
              <w:textAlignment w:val="center"/>
              <w:rPr>
                <w:rFonts w:hint="eastAsia"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8</w:t>
            </w:r>
          </w:p>
        </w:tc>
        <w:tc>
          <w:tcPr>
            <w:tcW w:w="488" w:type="pct"/>
            <w:shd w:val="clear" w:color="auto" w:fill="auto"/>
            <w:vAlign w:val="center"/>
          </w:tcPr>
          <w:p w14:paraId="2D3D2117">
            <w:pPr>
              <w:widowControl/>
              <w:spacing w:line="320" w:lineRule="exact"/>
              <w:jc w:val="left"/>
              <w:textAlignment w:val="center"/>
              <w:rPr>
                <w:rFonts w:hint="eastAsia"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其他城市数据</w:t>
            </w:r>
          </w:p>
        </w:tc>
        <w:tc>
          <w:tcPr>
            <w:tcW w:w="662" w:type="pct"/>
            <w:shd w:val="clear" w:color="auto" w:fill="auto"/>
            <w:vAlign w:val="center"/>
          </w:tcPr>
          <w:p w14:paraId="25117ADB">
            <w:pPr>
              <w:widowControl/>
              <w:spacing w:line="320" w:lineRule="exact"/>
              <w:jc w:val="left"/>
              <w:textAlignment w:val="center"/>
              <w:rPr>
                <w:rFonts w:hint="eastAsia"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市场资料</w:t>
            </w:r>
          </w:p>
        </w:tc>
        <w:tc>
          <w:tcPr>
            <w:tcW w:w="3413" w:type="pct"/>
            <w:shd w:val="clear" w:color="auto" w:fill="auto"/>
            <w:vAlign w:val="center"/>
          </w:tcPr>
          <w:p w14:paraId="31B4E3D4">
            <w:pPr>
              <w:widowControl/>
              <w:spacing w:line="320" w:lineRule="exact"/>
              <w:jc w:val="left"/>
              <w:textAlignment w:val="center"/>
              <w:rPr>
                <w:rFonts w:hint="eastAsia"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对甲方有数据、市场资料需求的其他城市，进行资料收集的深度配合</w:t>
            </w:r>
          </w:p>
        </w:tc>
      </w:tr>
      <w:tr w14:paraId="6A613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435" w:type="pct"/>
            <w:vMerge w:val="restart"/>
            <w:shd w:val="clear" w:color="auto" w:fill="auto"/>
            <w:vAlign w:val="center"/>
          </w:tcPr>
          <w:p w14:paraId="0F3FD6DB">
            <w:pPr>
              <w:widowControl/>
              <w:spacing w:line="320" w:lineRule="exact"/>
              <w:jc w:val="center"/>
              <w:textAlignment w:val="center"/>
              <w:rPr>
                <w:rFonts w:hint="eastAsia"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9</w:t>
            </w:r>
          </w:p>
        </w:tc>
        <w:tc>
          <w:tcPr>
            <w:tcW w:w="488" w:type="pct"/>
            <w:vMerge w:val="restart"/>
            <w:shd w:val="clear" w:color="auto" w:fill="auto"/>
            <w:vAlign w:val="center"/>
          </w:tcPr>
          <w:p w14:paraId="36DBC4E5">
            <w:pPr>
              <w:widowControl/>
              <w:spacing w:line="320" w:lineRule="exact"/>
              <w:jc w:val="center"/>
              <w:textAlignment w:val="center"/>
              <w:rPr>
                <w:rFonts w:hint="eastAsia"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咨询服务</w:t>
            </w:r>
          </w:p>
        </w:tc>
        <w:tc>
          <w:tcPr>
            <w:tcW w:w="662" w:type="pct"/>
            <w:shd w:val="clear" w:color="auto" w:fill="auto"/>
            <w:vAlign w:val="center"/>
          </w:tcPr>
          <w:p w14:paraId="33C0B3F8">
            <w:pPr>
              <w:widowControl/>
              <w:spacing w:line="320" w:lineRule="exact"/>
              <w:jc w:val="left"/>
              <w:textAlignment w:val="center"/>
              <w:rPr>
                <w:rFonts w:hint="eastAsia"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主力在售项目（4个）</w:t>
            </w:r>
          </w:p>
        </w:tc>
        <w:tc>
          <w:tcPr>
            <w:tcW w:w="3413" w:type="pct"/>
            <w:shd w:val="clear" w:color="auto" w:fill="auto"/>
            <w:vAlign w:val="center"/>
          </w:tcPr>
          <w:p w14:paraId="411520E7">
            <w:pPr>
              <w:widowControl/>
              <w:spacing w:line="320" w:lineRule="exact"/>
              <w:jc w:val="left"/>
              <w:textAlignment w:val="center"/>
              <w:rPr>
                <w:rFonts w:hint="eastAsia"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每周每个项目（南樾天宸、山与城、贯金和府、星河one）3-5次提问服务，内容包括但不限于各项目所在区域的商品房市场监测、竞争项目成交情况、竞争项目营销动作监控、竞争项目推售节奏</w:t>
            </w:r>
          </w:p>
        </w:tc>
      </w:tr>
      <w:tr w14:paraId="62175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435" w:type="pct"/>
            <w:vMerge w:val="continue"/>
            <w:shd w:val="clear" w:color="auto" w:fill="auto"/>
            <w:vAlign w:val="center"/>
          </w:tcPr>
          <w:p w14:paraId="3D055289">
            <w:pPr>
              <w:widowControl/>
              <w:spacing w:line="320" w:lineRule="exact"/>
              <w:jc w:val="left"/>
              <w:textAlignment w:val="center"/>
              <w:rPr>
                <w:rFonts w:hint="eastAsia" w:ascii="黑体" w:hAnsi="宋体" w:eastAsia="黑体" w:cs="黑体"/>
                <w:color w:val="000000"/>
                <w:kern w:val="0"/>
                <w:sz w:val="20"/>
                <w:szCs w:val="20"/>
                <w:lang w:bidi="ar"/>
              </w:rPr>
            </w:pPr>
          </w:p>
        </w:tc>
        <w:tc>
          <w:tcPr>
            <w:tcW w:w="488" w:type="pct"/>
            <w:vMerge w:val="continue"/>
            <w:shd w:val="clear" w:color="auto" w:fill="auto"/>
            <w:vAlign w:val="center"/>
          </w:tcPr>
          <w:p w14:paraId="4A3E0518">
            <w:pPr>
              <w:widowControl/>
              <w:spacing w:line="320" w:lineRule="exact"/>
              <w:jc w:val="left"/>
              <w:textAlignment w:val="center"/>
              <w:rPr>
                <w:rFonts w:hint="eastAsia" w:ascii="黑体" w:hAnsi="宋体" w:eastAsia="黑体" w:cs="黑体"/>
                <w:color w:val="000000"/>
                <w:kern w:val="0"/>
                <w:sz w:val="20"/>
                <w:szCs w:val="20"/>
                <w:lang w:bidi="ar"/>
              </w:rPr>
            </w:pPr>
          </w:p>
        </w:tc>
        <w:tc>
          <w:tcPr>
            <w:tcW w:w="662" w:type="pct"/>
            <w:shd w:val="clear" w:color="auto" w:fill="auto"/>
            <w:vAlign w:val="center"/>
          </w:tcPr>
          <w:p w14:paraId="4D85F80B">
            <w:pPr>
              <w:widowControl/>
              <w:spacing w:line="320" w:lineRule="exact"/>
              <w:jc w:val="left"/>
              <w:textAlignment w:val="center"/>
              <w:rPr>
                <w:rFonts w:hint="eastAsia"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渝开发公司其他部门</w:t>
            </w:r>
          </w:p>
        </w:tc>
        <w:tc>
          <w:tcPr>
            <w:tcW w:w="3413" w:type="pct"/>
            <w:shd w:val="clear" w:color="auto" w:fill="auto"/>
            <w:vAlign w:val="center"/>
          </w:tcPr>
          <w:p w14:paraId="1023D897">
            <w:pPr>
              <w:widowControl/>
              <w:spacing w:line="320" w:lineRule="exact"/>
              <w:jc w:val="left"/>
              <w:textAlignment w:val="center"/>
              <w:rPr>
                <w:rFonts w:hint="eastAsia"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市场数据咨询服务（按渝开发公司需求提供服务）</w:t>
            </w:r>
          </w:p>
        </w:tc>
      </w:tr>
      <w:tr w14:paraId="623E4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5" w:type="pct"/>
            <w:vMerge w:val="restart"/>
            <w:shd w:val="clear" w:color="auto" w:fill="auto"/>
            <w:vAlign w:val="center"/>
          </w:tcPr>
          <w:p w14:paraId="5687A2C6">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10</w:t>
            </w:r>
          </w:p>
        </w:tc>
        <w:tc>
          <w:tcPr>
            <w:tcW w:w="488" w:type="pct"/>
            <w:vMerge w:val="restart"/>
            <w:shd w:val="clear" w:color="auto" w:fill="auto"/>
            <w:vAlign w:val="center"/>
          </w:tcPr>
          <w:p w14:paraId="7C2CD7C0">
            <w:pPr>
              <w:widowControl/>
              <w:spacing w:line="320" w:lineRule="exact"/>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数据库系统</w:t>
            </w:r>
          </w:p>
        </w:tc>
        <w:tc>
          <w:tcPr>
            <w:tcW w:w="662" w:type="pct"/>
            <w:vMerge w:val="restart"/>
            <w:shd w:val="clear" w:color="auto" w:fill="auto"/>
            <w:vAlign w:val="center"/>
          </w:tcPr>
          <w:p w14:paraId="336EE2E1">
            <w:pPr>
              <w:widowControl/>
              <w:spacing w:line="320" w:lineRule="exact"/>
              <w:textAlignment w:val="center"/>
              <w:rPr>
                <w:rFonts w:hint="eastAsia"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数据库</w:t>
            </w:r>
          </w:p>
          <w:p w14:paraId="573B843F">
            <w:pPr>
              <w:widowControl/>
              <w:spacing w:line="320" w:lineRule="exac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5个账号</w:t>
            </w:r>
          </w:p>
        </w:tc>
        <w:tc>
          <w:tcPr>
            <w:tcW w:w="3413" w:type="pct"/>
            <w:shd w:val="clear" w:color="auto" w:fill="auto"/>
            <w:vAlign w:val="center"/>
          </w:tcPr>
          <w:p w14:paraId="447771B6">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（一）土地市场供应成交数据查询</w:t>
            </w:r>
          </w:p>
        </w:tc>
      </w:tr>
      <w:tr w14:paraId="4EFB3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5" w:type="pct"/>
            <w:vMerge w:val="continue"/>
            <w:shd w:val="clear" w:color="auto" w:fill="auto"/>
            <w:vAlign w:val="center"/>
          </w:tcPr>
          <w:p w14:paraId="30D13608">
            <w:pPr>
              <w:widowControl/>
              <w:spacing w:line="320" w:lineRule="exact"/>
              <w:jc w:val="center"/>
              <w:rPr>
                <w:rFonts w:hint="eastAsia" w:ascii="黑体" w:hAnsi="宋体" w:eastAsia="黑体" w:cs="黑体"/>
                <w:color w:val="000000"/>
                <w:sz w:val="20"/>
                <w:szCs w:val="20"/>
              </w:rPr>
            </w:pPr>
          </w:p>
        </w:tc>
        <w:tc>
          <w:tcPr>
            <w:tcW w:w="488" w:type="pct"/>
            <w:vMerge w:val="continue"/>
            <w:shd w:val="clear" w:color="auto" w:fill="auto"/>
            <w:vAlign w:val="center"/>
          </w:tcPr>
          <w:p w14:paraId="2BD102EE">
            <w:pPr>
              <w:widowControl/>
              <w:spacing w:line="320" w:lineRule="exact"/>
              <w:jc w:val="center"/>
              <w:rPr>
                <w:rFonts w:hint="eastAsia" w:ascii="黑体" w:hAnsi="宋体" w:eastAsia="黑体" w:cs="黑体"/>
                <w:color w:val="000000"/>
                <w:sz w:val="20"/>
                <w:szCs w:val="20"/>
              </w:rPr>
            </w:pPr>
          </w:p>
        </w:tc>
        <w:tc>
          <w:tcPr>
            <w:tcW w:w="662" w:type="pct"/>
            <w:vMerge w:val="continue"/>
            <w:shd w:val="clear" w:color="auto" w:fill="auto"/>
            <w:vAlign w:val="center"/>
          </w:tcPr>
          <w:p w14:paraId="3874FCEB">
            <w:pPr>
              <w:widowControl/>
              <w:spacing w:line="320" w:lineRule="exact"/>
              <w:jc w:val="center"/>
              <w:rPr>
                <w:rFonts w:hint="eastAsia" w:ascii="黑体" w:hAnsi="宋体" w:eastAsia="黑体" w:cs="黑体"/>
                <w:color w:val="000000"/>
                <w:sz w:val="20"/>
                <w:szCs w:val="20"/>
              </w:rPr>
            </w:pPr>
          </w:p>
        </w:tc>
        <w:tc>
          <w:tcPr>
            <w:tcW w:w="3413" w:type="pct"/>
            <w:shd w:val="clear" w:color="auto" w:fill="auto"/>
            <w:vAlign w:val="center"/>
          </w:tcPr>
          <w:p w14:paraId="0A46937F">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（二）商品房市场供应成交库存数据查询</w:t>
            </w:r>
          </w:p>
        </w:tc>
      </w:tr>
      <w:tr w14:paraId="74E13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435" w:type="pct"/>
            <w:vMerge w:val="continue"/>
            <w:shd w:val="clear" w:color="auto" w:fill="auto"/>
            <w:vAlign w:val="center"/>
          </w:tcPr>
          <w:p w14:paraId="57FD7891">
            <w:pPr>
              <w:widowControl/>
              <w:spacing w:line="320" w:lineRule="exact"/>
              <w:jc w:val="center"/>
              <w:rPr>
                <w:rFonts w:hint="eastAsia" w:ascii="黑体" w:hAnsi="宋体" w:eastAsia="黑体" w:cs="黑体"/>
                <w:color w:val="000000"/>
                <w:sz w:val="20"/>
                <w:szCs w:val="20"/>
              </w:rPr>
            </w:pPr>
          </w:p>
        </w:tc>
        <w:tc>
          <w:tcPr>
            <w:tcW w:w="488" w:type="pct"/>
            <w:vMerge w:val="continue"/>
            <w:shd w:val="clear" w:color="auto" w:fill="auto"/>
            <w:vAlign w:val="center"/>
          </w:tcPr>
          <w:p w14:paraId="21424571">
            <w:pPr>
              <w:widowControl/>
              <w:spacing w:line="320" w:lineRule="exact"/>
              <w:jc w:val="center"/>
              <w:rPr>
                <w:rFonts w:hint="eastAsia" w:ascii="黑体" w:hAnsi="宋体" w:eastAsia="黑体" w:cs="黑体"/>
                <w:color w:val="000000"/>
                <w:sz w:val="20"/>
                <w:szCs w:val="20"/>
              </w:rPr>
            </w:pPr>
          </w:p>
        </w:tc>
        <w:tc>
          <w:tcPr>
            <w:tcW w:w="662" w:type="pct"/>
            <w:vMerge w:val="continue"/>
            <w:shd w:val="clear" w:color="auto" w:fill="auto"/>
            <w:vAlign w:val="center"/>
          </w:tcPr>
          <w:p w14:paraId="2FC1D4A4">
            <w:pPr>
              <w:widowControl/>
              <w:spacing w:line="320" w:lineRule="exact"/>
              <w:jc w:val="center"/>
              <w:rPr>
                <w:rFonts w:hint="eastAsia" w:ascii="黑体" w:hAnsi="宋体" w:eastAsia="黑体" w:cs="黑体"/>
                <w:color w:val="000000"/>
                <w:sz w:val="20"/>
                <w:szCs w:val="20"/>
              </w:rPr>
            </w:pPr>
          </w:p>
        </w:tc>
        <w:tc>
          <w:tcPr>
            <w:tcW w:w="3413" w:type="pct"/>
            <w:shd w:val="clear" w:color="auto" w:fill="auto"/>
            <w:vAlign w:val="center"/>
          </w:tcPr>
          <w:p w14:paraId="6D5CCC81">
            <w:pPr>
              <w:widowControl/>
              <w:spacing w:line="320" w:lineRule="exact"/>
              <w:jc w:val="left"/>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（三）二手房市场数据查询</w:t>
            </w:r>
          </w:p>
        </w:tc>
      </w:tr>
    </w:tbl>
    <w:p w14:paraId="67EACE08"/>
    <w:sectPr>
      <w:footerReference r:id="rId4" w:type="default"/>
      <w:footerReference r:id="rId5" w:type="even"/>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CBF99CF-B80C-42AB-9B85-43DEDCD4E254}"/>
  </w:font>
  <w:font w:name="黑体">
    <w:panose1 w:val="02010609060101010101"/>
    <w:charset w:val="86"/>
    <w:family w:val="auto"/>
    <w:pitch w:val="default"/>
    <w:sig w:usb0="800002BF" w:usb1="38CF7CFA" w:usb2="00000016" w:usb3="00000000" w:csb0="00040001" w:csb1="00000000"/>
    <w:embedRegular r:id="rId2" w:fontKey="{9F0836ED-9EDA-40C7-8133-CD6104ACA0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EB83862F-D918-4BE1-B541-41E12819026A}"/>
  </w:font>
  <w:font w:name="Cambria">
    <w:panose1 w:val="02040503050406030204"/>
    <w:charset w:val="00"/>
    <w:family w:val="roman"/>
    <w:pitch w:val="default"/>
    <w:sig w:usb0="E00006FF" w:usb1="420024FF" w:usb2="02000000" w:usb3="00000000" w:csb0="2000019F" w:csb1="00000000"/>
  </w:font>
  <w:font w:name="方正仿宋_GBK">
    <w:panose1 w:val="02000000000000000000"/>
    <w:charset w:val="86"/>
    <w:family w:val="script"/>
    <w:pitch w:val="default"/>
    <w:sig w:usb0="00000001" w:usb1="080E0000" w:usb2="00000000" w:usb3="00000000" w:csb0="00040000" w:csb1="00000000"/>
    <w:embedRegular r:id="rId4" w:fontKey="{166B9700-A5F8-4BC3-A812-041D55012B9D}"/>
  </w:font>
  <w:font w:name="微软雅黑">
    <w:panose1 w:val="020B0503020204020204"/>
    <w:charset w:val="86"/>
    <w:family w:val="swiss"/>
    <w:pitch w:val="default"/>
    <w:sig w:usb0="80000287" w:usb1="2ACF3C50" w:usb2="00000016" w:usb3="00000000" w:csb0="0004001F" w:csb1="00000000"/>
    <w:embedRegular r:id="rId5" w:fontKey="{F063D2BA-FC32-4BF8-89B6-3F3E9C116DE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F4DA1">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36</w:t>
    </w:r>
    <w:r>
      <w:fldChar w:fldCharType="end"/>
    </w:r>
  </w:p>
  <w:p w14:paraId="1E960BA2">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A0360">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43</w:t>
    </w:r>
    <w:r>
      <w:fldChar w:fldCharType="end"/>
    </w:r>
  </w:p>
  <w:p w14:paraId="03FC220C">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8CEF2">
    <w:pPr>
      <w:pStyle w:val="8"/>
      <w:framePr w:wrap="around" w:vAnchor="text" w:hAnchor="margin" w:xAlign="center" w:y="1"/>
      <w:rPr>
        <w:rStyle w:val="15"/>
      </w:rPr>
    </w:pPr>
    <w:r>
      <w:fldChar w:fldCharType="begin"/>
    </w:r>
    <w:r>
      <w:rPr>
        <w:rStyle w:val="15"/>
      </w:rPr>
      <w:instrText xml:space="preserve">PAGE  </w:instrText>
    </w:r>
    <w:r>
      <w:fldChar w:fldCharType="end"/>
    </w:r>
  </w:p>
  <w:p w14:paraId="35B8FFC6">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5E102B"/>
    <w:multiLevelType w:val="singleLevel"/>
    <w:tmpl w:val="B35E102B"/>
    <w:lvl w:ilvl="0" w:tentative="0">
      <w:start w:val="1"/>
      <w:numFmt w:val="chineseCounting"/>
      <w:suff w:val="nothing"/>
      <w:lvlText w:val="（%1）"/>
      <w:lvlJc w:val="left"/>
      <w:rPr>
        <w:rFonts w:hint="eastAsia"/>
      </w:rPr>
    </w:lvl>
  </w:abstractNum>
  <w:abstractNum w:abstractNumId="1">
    <w:nsid w:val="2C033C60"/>
    <w:multiLevelType w:val="multilevel"/>
    <w:tmpl w:val="2C033C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pStyle w:val="2"/>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E72FCE2"/>
    <w:multiLevelType w:val="singleLevel"/>
    <w:tmpl w:val="5E72FCE2"/>
    <w:lvl w:ilvl="0" w:tentative="0">
      <w:start w:val="1"/>
      <w:numFmt w:val="chineseCounting"/>
      <w:suff w:val="nothing"/>
      <w:lvlText w:val="%1、"/>
      <w:lvlJc w:val="left"/>
    </w:lvl>
  </w:abstractNum>
  <w:abstractNum w:abstractNumId="3">
    <w:nsid w:val="5E7305E2"/>
    <w:multiLevelType w:val="singleLevel"/>
    <w:tmpl w:val="5E7305E2"/>
    <w:lvl w:ilvl="0" w:tentative="0">
      <w:start w:val="2"/>
      <w:numFmt w:val="chineseCounting"/>
      <w:suff w:val="nothing"/>
      <w:lvlText w:val="第%1条"/>
      <w:lvlJc w:val="left"/>
    </w:lvl>
  </w:abstractNum>
  <w:abstractNum w:abstractNumId="4">
    <w:nsid w:val="5E785F06"/>
    <w:multiLevelType w:val="singleLevel"/>
    <w:tmpl w:val="5E785F06"/>
    <w:lvl w:ilvl="0" w:tentative="0">
      <w:start w:val="1"/>
      <w:numFmt w:val="decimal"/>
      <w:suff w:val="nothing"/>
      <w:lvlText w:val="%1、"/>
      <w:lvlJc w:val="left"/>
    </w:lvl>
  </w:abstractNum>
  <w:abstractNum w:abstractNumId="5">
    <w:nsid w:val="62B29E83"/>
    <w:multiLevelType w:val="singleLevel"/>
    <w:tmpl w:val="62B29E83"/>
    <w:lvl w:ilvl="0" w:tentative="0">
      <w:start w:val="1"/>
      <w:numFmt w:val="decimal"/>
      <w:suff w:val="nothing"/>
      <w:lvlText w:val="%1、"/>
      <w:lvlJc w:val="left"/>
    </w:lvl>
  </w:abstractNum>
  <w:abstractNum w:abstractNumId="6">
    <w:nsid w:val="6A0EA1B7"/>
    <w:multiLevelType w:val="singleLevel"/>
    <w:tmpl w:val="6A0EA1B7"/>
    <w:lvl w:ilvl="0" w:tentative="0">
      <w:start w:val="1"/>
      <w:numFmt w:val="chineseCounting"/>
      <w:suff w:val="nothing"/>
      <w:lvlText w:val="（%1）"/>
      <w:lvlJc w:val="left"/>
      <w:rPr>
        <w:rFonts w:hint="eastAsia"/>
      </w:rPr>
    </w:lvl>
  </w:abstractNum>
  <w:num w:numId="1">
    <w:abstractNumId w:val="1"/>
  </w:num>
  <w:num w:numId="2">
    <w:abstractNumId w:val="2"/>
  </w:num>
  <w:num w:numId="3">
    <w:abstractNumId w:val="6"/>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0OTBlYTVmODg2YjI4MjU1NGZlM2Y0NmE2ZDM3MjgifQ=="/>
  </w:docVars>
  <w:rsids>
    <w:rsidRoot w:val="1B1F0549"/>
    <w:rsid w:val="002C1243"/>
    <w:rsid w:val="003C7818"/>
    <w:rsid w:val="003E6113"/>
    <w:rsid w:val="00492FE6"/>
    <w:rsid w:val="00516735"/>
    <w:rsid w:val="0073019B"/>
    <w:rsid w:val="03884B63"/>
    <w:rsid w:val="06360D32"/>
    <w:rsid w:val="09BE4B74"/>
    <w:rsid w:val="0CC16DD5"/>
    <w:rsid w:val="0D2F1C8E"/>
    <w:rsid w:val="0D9F294F"/>
    <w:rsid w:val="0E52099B"/>
    <w:rsid w:val="13764DA7"/>
    <w:rsid w:val="146F75CE"/>
    <w:rsid w:val="1582332F"/>
    <w:rsid w:val="15CE266A"/>
    <w:rsid w:val="16AF1081"/>
    <w:rsid w:val="194D3F9F"/>
    <w:rsid w:val="198821D7"/>
    <w:rsid w:val="1A11474C"/>
    <w:rsid w:val="1A926BBD"/>
    <w:rsid w:val="1B1F0549"/>
    <w:rsid w:val="1BA625E4"/>
    <w:rsid w:val="1C8E6F55"/>
    <w:rsid w:val="1E025351"/>
    <w:rsid w:val="1E143EAA"/>
    <w:rsid w:val="203C6619"/>
    <w:rsid w:val="20F06D93"/>
    <w:rsid w:val="210E4B7A"/>
    <w:rsid w:val="21B457A5"/>
    <w:rsid w:val="21C56CBD"/>
    <w:rsid w:val="21DD0233"/>
    <w:rsid w:val="25C132A9"/>
    <w:rsid w:val="25F1183C"/>
    <w:rsid w:val="26972C7B"/>
    <w:rsid w:val="28984C9A"/>
    <w:rsid w:val="2F823704"/>
    <w:rsid w:val="30E4331F"/>
    <w:rsid w:val="34DB042F"/>
    <w:rsid w:val="371D3E61"/>
    <w:rsid w:val="3A07029A"/>
    <w:rsid w:val="3A275B61"/>
    <w:rsid w:val="3B7E65EA"/>
    <w:rsid w:val="3C644B46"/>
    <w:rsid w:val="3D2739F3"/>
    <w:rsid w:val="3D5933BC"/>
    <w:rsid w:val="3DD7574E"/>
    <w:rsid w:val="3F860FD0"/>
    <w:rsid w:val="406C2716"/>
    <w:rsid w:val="408866E5"/>
    <w:rsid w:val="413E72A5"/>
    <w:rsid w:val="41CC4CAC"/>
    <w:rsid w:val="43243CCF"/>
    <w:rsid w:val="459C642D"/>
    <w:rsid w:val="45C35682"/>
    <w:rsid w:val="47853A39"/>
    <w:rsid w:val="4A69591F"/>
    <w:rsid w:val="5360292E"/>
    <w:rsid w:val="55DE567C"/>
    <w:rsid w:val="592B372A"/>
    <w:rsid w:val="5B892CD6"/>
    <w:rsid w:val="5B986551"/>
    <w:rsid w:val="5C436237"/>
    <w:rsid w:val="5F041E68"/>
    <w:rsid w:val="5F3A06D7"/>
    <w:rsid w:val="5FEB753F"/>
    <w:rsid w:val="61AC071D"/>
    <w:rsid w:val="63CB6EDD"/>
    <w:rsid w:val="66BF1463"/>
    <w:rsid w:val="673B5A6E"/>
    <w:rsid w:val="67DD73DA"/>
    <w:rsid w:val="68C7568A"/>
    <w:rsid w:val="6FE843A3"/>
    <w:rsid w:val="71F417D4"/>
    <w:rsid w:val="7254015F"/>
    <w:rsid w:val="759C4CA1"/>
    <w:rsid w:val="77557CA9"/>
    <w:rsid w:val="77641B0D"/>
    <w:rsid w:val="79CC4C0B"/>
    <w:rsid w:val="7B7E2E8F"/>
    <w:rsid w:val="7D502ECB"/>
    <w:rsid w:val="7E647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keepNext/>
      <w:keepLines/>
      <w:widowControl/>
      <w:numPr>
        <w:ilvl w:val="2"/>
        <w:numId w:val="1"/>
      </w:numPr>
      <w:spacing w:before="120" w:after="120" w:line="360" w:lineRule="auto"/>
      <w:jc w:val="center"/>
      <w:outlineLvl w:val="2"/>
    </w:pPr>
    <w:rPr>
      <w:b/>
      <w:kern w:val="0"/>
      <w:sz w:val="32"/>
      <w:szCs w:val="2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annotation text"/>
    <w:basedOn w:val="1"/>
    <w:qFormat/>
    <w:uiPriority w:val="0"/>
    <w:pPr>
      <w:jc w:val="left"/>
    </w:pPr>
  </w:style>
  <w:style w:type="paragraph" w:styleId="5">
    <w:name w:val="Body Text"/>
    <w:basedOn w:val="1"/>
    <w:qFormat/>
    <w:uiPriority w:val="0"/>
    <w:pPr>
      <w:spacing w:line="360" w:lineRule="exact"/>
      <w:jc w:val="center"/>
    </w:pPr>
    <w:rPr>
      <w:szCs w:val="20"/>
    </w:rPr>
  </w:style>
  <w:style w:type="paragraph" w:styleId="6">
    <w:name w:val="Body Text Indent"/>
    <w:basedOn w:val="1"/>
    <w:qFormat/>
    <w:uiPriority w:val="0"/>
    <w:pPr>
      <w:tabs>
        <w:tab w:val="left" w:pos="1050"/>
      </w:tabs>
      <w:spacing w:line="520" w:lineRule="exact"/>
      <w:ind w:firstLine="524" w:firstLineChars="187"/>
    </w:pPr>
    <w:rPr>
      <w:rFonts w:eastAsia="Times New Roman"/>
      <w:sz w:val="28"/>
    </w:rPr>
  </w:style>
  <w:style w:type="paragraph" w:styleId="7">
    <w:name w:val="Plain Text"/>
    <w:basedOn w:val="1"/>
    <w:qFormat/>
    <w:uiPriority w:val="0"/>
    <w:rPr>
      <w:rFonts w:ascii="宋体" w:hAnsi="Courier New" w:eastAsia="Times New Roman"/>
      <w:szCs w:val="20"/>
    </w:rPr>
  </w:style>
  <w:style w:type="paragraph" w:styleId="8">
    <w:name w:val="footer"/>
    <w:basedOn w:val="1"/>
    <w:qFormat/>
    <w:uiPriority w:val="0"/>
    <w:pPr>
      <w:tabs>
        <w:tab w:val="center" w:pos="4153"/>
        <w:tab w:val="right" w:pos="8306"/>
      </w:tabs>
      <w:snapToGrid w:val="0"/>
      <w:jc w:val="left"/>
    </w:pPr>
    <w:rPr>
      <w:rFonts w:eastAsia="Times New Roman"/>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rPr>
      <w:sz w:val="24"/>
    </w:rPr>
  </w:style>
  <w:style w:type="paragraph" w:styleId="11">
    <w:name w:val="Title"/>
    <w:basedOn w:val="1"/>
    <w:next w:val="1"/>
    <w:qFormat/>
    <w:uiPriority w:val="0"/>
    <w:pPr>
      <w:jc w:val="left"/>
      <w:outlineLvl w:val="0"/>
    </w:pPr>
    <w:rPr>
      <w:rFonts w:ascii="Cambria" w:hAnsi="Cambria"/>
      <w:b/>
      <w:bCs/>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paragraph" w:customStyle="1" w:styleId="16">
    <w:name w:val="Other|1"/>
    <w:basedOn w:val="1"/>
    <w:qFormat/>
    <w:uiPriority w:val="0"/>
    <w:pPr>
      <w:spacing w:after="240" w:line="434" w:lineRule="auto"/>
      <w:ind w:firstLine="400"/>
    </w:pPr>
    <w:rPr>
      <w:rFonts w:ascii="宋体" w:hAnsi="宋体" w:cs="宋体"/>
      <w:sz w:val="26"/>
      <w:szCs w:val="26"/>
      <w:lang w:val="zh-TW" w:eastAsia="zh-TW" w:bidi="zh-TW"/>
    </w:rPr>
  </w:style>
  <w:style w:type="paragraph" w:customStyle="1" w:styleId="17">
    <w:name w:val="列出段落1"/>
    <w:basedOn w:val="1"/>
    <w:qFormat/>
    <w:uiPriority w:val="0"/>
    <w:pPr>
      <w:ind w:firstLine="420" w:firstLineChars="200"/>
    </w:pPr>
    <w:rPr>
      <w:rFonts w:ascii="Calibri" w:hAnsi="Calibri"/>
      <w:szCs w:val="22"/>
    </w:rPr>
  </w:style>
  <w:style w:type="paragraph" w:customStyle="1" w:styleId="18">
    <w:name w:val="p16"/>
    <w:basedOn w:val="1"/>
    <w:qFormat/>
    <w:uiPriority w:val="0"/>
    <w:pPr>
      <w:widowControl/>
      <w:ind w:firstLine="420"/>
    </w:pPr>
    <w:rPr>
      <w:rFonts w:ascii="Cambria" w:hAnsi="Cambria"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EF699-2A3C-42C0-A25A-442D0B49DFDD}">
  <ds:schemaRefs/>
</ds:datastoreItem>
</file>

<file path=docProps/app.xml><?xml version="1.0" encoding="utf-8"?>
<Properties xmlns="http://schemas.openxmlformats.org/officeDocument/2006/extended-properties" xmlns:vt="http://schemas.openxmlformats.org/officeDocument/2006/docPropsVTypes">
  <Template>Normal</Template>
  <Pages>32</Pages>
  <Words>15899</Words>
  <Characters>16435</Characters>
  <Lines>139</Lines>
  <Paragraphs>39</Paragraphs>
  <TotalTime>54</TotalTime>
  <ScaleCrop>false</ScaleCrop>
  <LinksUpToDate>false</LinksUpToDate>
  <CharactersWithSpaces>17722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2024-09-20T08:40:00Z</dcterms:created>
  <dc:creator>Administrator</dc:creator>
  <cp:lastModifiedBy>Administrator</cp:lastModifiedBy>
  <cp:lastPrinted>2022-07-18T03:20:00Z</cp:lastPrinted>
  <dcterms:modified xsi:type="dcterms:W3CDTF">2024-09-30T03:12:09Z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2598E1EA4DD44B40B1D405C02ADB7539_13</vt:lpwstr>
  </property>
</Properties>
</file>