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49948" w14:textId="3923AB27" w:rsidR="004C7921" w:rsidRDefault="00000000">
      <w:pPr>
        <w:spacing w:line="460" w:lineRule="exact"/>
        <w:rPr>
          <w:rFonts w:ascii="宋体" w:hAnsi="宋体" w:hint="eastAsia"/>
          <w:color w:val="000000"/>
          <w:sz w:val="28"/>
          <w:szCs w:val="28"/>
        </w:rPr>
      </w:pPr>
      <w:r>
        <w:rPr>
          <w:rFonts w:ascii="宋体" w:hAnsi="宋体" w:hint="eastAsia"/>
          <w:color w:val="000000"/>
          <w:sz w:val="28"/>
          <w:szCs w:val="28"/>
        </w:rPr>
        <w:t xml:space="preserve">证券代码：000514      证券简称：渝开发     </w:t>
      </w:r>
      <w:r w:rsidR="00607A3A">
        <w:rPr>
          <w:rFonts w:ascii="宋体" w:hAnsi="宋体" w:hint="eastAsia"/>
          <w:color w:val="000000"/>
          <w:sz w:val="28"/>
          <w:szCs w:val="28"/>
        </w:rPr>
        <w:t xml:space="preserve"> </w:t>
      </w:r>
      <w:r>
        <w:rPr>
          <w:rFonts w:ascii="宋体" w:hAnsi="宋体" w:hint="eastAsia"/>
          <w:color w:val="000000"/>
          <w:sz w:val="28"/>
          <w:szCs w:val="28"/>
        </w:rPr>
        <w:t>公告编号：202</w:t>
      </w:r>
      <w:r w:rsidR="00027E5F">
        <w:rPr>
          <w:rFonts w:ascii="宋体" w:hAnsi="宋体"/>
          <w:color w:val="000000"/>
          <w:sz w:val="28"/>
          <w:szCs w:val="28"/>
        </w:rPr>
        <w:t>4</w:t>
      </w:r>
      <w:r>
        <w:rPr>
          <w:rFonts w:ascii="宋体" w:hAnsi="宋体" w:hint="eastAsia"/>
          <w:color w:val="000000"/>
          <w:sz w:val="28"/>
          <w:szCs w:val="28"/>
        </w:rPr>
        <w:t>-</w:t>
      </w:r>
      <w:r w:rsidR="00110DAB">
        <w:rPr>
          <w:rFonts w:ascii="宋体" w:hAnsi="宋体" w:hint="eastAsia"/>
          <w:color w:val="000000"/>
          <w:sz w:val="28"/>
          <w:szCs w:val="28"/>
        </w:rPr>
        <w:t>101</w:t>
      </w:r>
    </w:p>
    <w:p w14:paraId="55F7048B" w14:textId="77777777" w:rsidR="009002B6" w:rsidRDefault="009002B6">
      <w:pPr>
        <w:snapToGrid w:val="0"/>
        <w:spacing w:line="560" w:lineRule="exact"/>
        <w:jc w:val="center"/>
        <w:rPr>
          <w:rFonts w:ascii="方正小标宋_GBK" w:eastAsia="方正小标宋_GBK" w:hAnsi="宋体" w:hint="eastAsia"/>
          <w:b/>
          <w:bCs/>
          <w:sz w:val="36"/>
        </w:rPr>
      </w:pPr>
    </w:p>
    <w:p w14:paraId="512A496F" w14:textId="1A01E691" w:rsidR="004C7921" w:rsidRPr="00EC3A4D" w:rsidRDefault="00000000">
      <w:pPr>
        <w:snapToGrid w:val="0"/>
        <w:spacing w:line="560" w:lineRule="exact"/>
        <w:jc w:val="center"/>
        <w:rPr>
          <w:rFonts w:ascii="方正小标宋_GBK" w:eastAsia="方正小标宋_GBK" w:hAnsi="宋体" w:hint="eastAsia"/>
          <w:b/>
          <w:bCs/>
          <w:sz w:val="36"/>
        </w:rPr>
      </w:pPr>
      <w:r w:rsidRPr="00EC3A4D">
        <w:rPr>
          <w:rFonts w:ascii="方正小标宋_GBK" w:eastAsia="方正小标宋_GBK" w:hAnsi="宋体" w:hint="eastAsia"/>
          <w:b/>
          <w:bCs/>
          <w:sz w:val="36"/>
        </w:rPr>
        <w:t>重庆渝开发股份有限公司</w:t>
      </w:r>
    </w:p>
    <w:p w14:paraId="5E5006DB" w14:textId="3DB0AC7E" w:rsidR="004C7921" w:rsidRPr="00EC3A4D" w:rsidRDefault="004B05DC">
      <w:pPr>
        <w:snapToGrid w:val="0"/>
        <w:spacing w:line="560" w:lineRule="exact"/>
        <w:jc w:val="center"/>
        <w:rPr>
          <w:rFonts w:ascii="方正小标宋_GBK" w:eastAsia="方正小标宋_GBK" w:hAnsi="宋体" w:hint="eastAsia"/>
          <w:b/>
          <w:bCs/>
          <w:sz w:val="36"/>
        </w:rPr>
      </w:pPr>
      <w:r w:rsidRPr="004B05DC">
        <w:rPr>
          <w:rFonts w:ascii="方正小标宋_GBK" w:eastAsia="方正小标宋_GBK" w:hAnsi="宋体"/>
          <w:b/>
          <w:bCs/>
          <w:sz w:val="36"/>
        </w:rPr>
        <w:t>关于申请向特定对象发行股票的审核问询函回复及募集说明书等申请文件</w:t>
      </w:r>
      <w:r w:rsidR="0035457A">
        <w:rPr>
          <w:rFonts w:ascii="方正小标宋_GBK" w:eastAsia="方正小标宋_GBK" w:hAnsi="宋体" w:hint="eastAsia"/>
          <w:b/>
          <w:bCs/>
          <w:sz w:val="36"/>
        </w:rPr>
        <w:t>二次</w:t>
      </w:r>
      <w:r w:rsidRPr="004B05DC">
        <w:rPr>
          <w:rFonts w:ascii="方正小标宋_GBK" w:eastAsia="方正小标宋_GBK" w:hAnsi="宋体"/>
          <w:b/>
          <w:bCs/>
          <w:sz w:val="36"/>
        </w:rPr>
        <w:t>更新的提示性</w:t>
      </w:r>
      <w:r w:rsidRPr="00EC3A4D">
        <w:rPr>
          <w:rFonts w:ascii="方正小标宋_GBK" w:eastAsia="方正小标宋_GBK" w:hAnsi="宋体" w:hint="eastAsia"/>
          <w:b/>
          <w:bCs/>
          <w:sz w:val="36"/>
        </w:rPr>
        <w:t>公告</w:t>
      </w:r>
    </w:p>
    <w:p w14:paraId="3F23F01A" w14:textId="77777777" w:rsidR="004C7921" w:rsidRPr="00B972AE" w:rsidRDefault="00000000">
      <w:pPr>
        <w:pStyle w:val="a3"/>
        <w:pBdr>
          <w:left w:val="single" w:sz="4" w:space="0" w:color="auto"/>
          <w:bottom w:val="single" w:sz="4" w:space="9" w:color="auto"/>
          <w:right w:val="single" w:sz="4" w:space="0" w:color="auto"/>
        </w:pBdr>
        <w:spacing w:line="560" w:lineRule="exact"/>
        <w:ind w:left="0" w:firstLineChars="200" w:firstLine="560"/>
        <w:rPr>
          <w:rFonts w:asciiTheme="majorEastAsia" w:eastAsiaTheme="majorEastAsia" w:hAnsiTheme="majorEastAsia"/>
          <w:sz w:val="28"/>
          <w:szCs w:val="28"/>
        </w:rPr>
      </w:pPr>
      <w:r w:rsidRPr="00B972AE">
        <w:rPr>
          <w:rFonts w:asciiTheme="majorEastAsia" w:eastAsiaTheme="majorEastAsia" w:hAnsiTheme="majorEastAsia"/>
          <w:sz w:val="28"/>
          <w:szCs w:val="28"/>
        </w:rPr>
        <w:t>本公司及其董事会全体成员保证信息披露内容的真实、准确和完整，没有虚假记载、误导性陈述或重大遗漏。</w:t>
      </w:r>
    </w:p>
    <w:p w14:paraId="2FC4DA66" w14:textId="52628B4D" w:rsidR="004B05DC" w:rsidRPr="009F0FF5" w:rsidRDefault="004B05DC" w:rsidP="004A6A77">
      <w:pPr>
        <w:spacing w:line="540" w:lineRule="exact"/>
        <w:ind w:firstLineChars="200" w:firstLine="560"/>
        <w:jc w:val="left"/>
        <w:rPr>
          <w:rFonts w:ascii="宋体" w:hAnsi="宋体" w:hint="eastAsia"/>
          <w:sz w:val="28"/>
          <w:szCs w:val="28"/>
        </w:rPr>
      </w:pPr>
      <w:r w:rsidRPr="009F0FF5">
        <w:rPr>
          <w:rFonts w:ascii="宋体" w:hAnsi="宋体" w:hint="eastAsia"/>
          <w:sz w:val="28"/>
          <w:szCs w:val="28"/>
        </w:rPr>
        <w:t>重庆渝开发股份有限公司（以下简称“公司”）于</w:t>
      </w:r>
      <w:r w:rsidR="00072E81">
        <w:rPr>
          <w:rFonts w:ascii="宋体" w:hAnsi="宋体" w:hint="eastAsia"/>
          <w:sz w:val="28"/>
          <w:szCs w:val="28"/>
        </w:rPr>
        <w:t>2024年</w:t>
      </w:r>
      <w:r w:rsidRPr="009F0FF5">
        <w:rPr>
          <w:rFonts w:ascii="宋体" w:hAnsi="宋体" w:hint="eastAsia"/>
          <w:sz w:val="28"/>
          <w:szCs w:val="28"/>
        </w:rPr>
        <w:t>9月10日收到深圳证券交易所（以下简称“深交所”）出具的《关于重庆渝开发股份有限公司申请向特定对象发行股票的审核问询函》（审核函〔2024〕120037号）</w:t>
      </w:r>
      <w:r w:rsidRPr="009F0FF5">
        <w:rPr>
          <w:rFonts w:ascii="宋体" w:hAnsi="宋体"/>
          <w:sz w:val="28"/>
          <w:szCs w:val="28"/>
        </w:rPr>
        <w:t>（以下简称“《审核问询函》”）。</w:t>
      </w:r>
      <w:r w:rsidRPr="009F0FF5">
        <w:rPr>
          <w:rFonts w:ascii="宋体" w:hAnsi="宋体" w:hint="eastAsia"/>
          <w:sz w:val="28"/>
          <w:szCs w:val="28"/>
        </w:rPr>
        <w:t>深交所对公司向特定对象发行股票的申请文件进行了审核，并形成审核问询问题。</w:t>
      </w:r>
    </w:p>
    <w:p w14:paraId="0B93E768" w14:textId="6419C155" w:rsidR="004C7921" w:rsidRPr="009F0FF5" w:rsidRDefault="004B05DC" w:rsidP="004A6A77">
      <w:pPr>
        <w:spacing w:line="540" w:lineRule="exact"/>
        <w:ind w:firstLineChars="200" w:firstLine="560"/>
        <w:jc w:val="left"/>
        <w:rPr>
          <w:rFonts w:ascii="宋体" w:hAnsi="宋体" w:hint="eastAsia"/>
          <w:sz w:val="28"/>
          <w:szCs w:val="28"/>
        </w:rPr>
      </w:pPr>
      <w:r w:rsidRPr="009F0FF5">
        <w:rPr>
          <w:rFonts w:ascii="宋体" w:hAnsi="宋体"/>
          <w:sz w:val="28"/>
          <w:szCs w:val="28"/>
        </w:rPr>
        <w:t>公司按照《审核问询函》的要求，会同相关中介机构针对</w:t>
      </w:r>
      <w:r w:rsidR="005579AD" w:rsidRPr="009F0FF5">
        <w:rPr>
          <w:rFonts w:ascii="宋体" w:hAnsi="宋体" w:hint="eastAsia"/>
          <w:sz w:val="28"/>
          <w:szCs w:val="28"/>
        </w:rPr>
        <w:t>《</w:t>
      </w:r>
      <w:r w:rsidRPr="009F0FF5">
        <w:rPr>
          <w:rFonts w:ascii="宋体" w:hAnsi="宋体"/>
          <w:sz w:val="28"/>
          <w:szCs w:val="28"/>
        </w:rPr>
        <w:t>审核问询函</w:t>
      </w:r>
      <w:r w:rsidR="005579AD" w:rsidRPr="009F0FF5">
        <w:rPr>
          <w:rFonts w:ascii="宋体" w:hAnsi="宋体" w:hint="eastAsia"/>
          <w:sz w:val="28"/>
          <w:szCs w:val="28"/>
        </w:rPr>
        <w:t>》</w:t>
      </w:r>
      <w:r w:rsidRPr="009F0FF5">
        <w:rPr>
          <w:rFonts w:ascii="宋体" w:hAnsi="宋体"/>
          <w:sz w:val="28"/>
          <w:szCs w:val="28"/>
        </w:rPr>
        <w:t>所列问题进行了认真研究和回复，并结合公司2024年8月</w:t>
      </w:r>
      <w:r w:rsidRPr="009F0FF5">
        <w:rPr>
          <w:rFonts w:ascii="宋体" w:hAnsi="宋体" w:hint="eastAsia"/>
          <w:sz w:val="28"/>
          <w:szCs w:val="28"/>
        </w:rPr>
        <w:t>29</w:t>
      </w:r>
      <w:r w:rsidRPr="009F0FF5">
        <w:rPr>
          <w:rFonts w:ascii="宋体" w:hAnsi="宋体"/>
          <w:sz w:val="28"/>
          <w:szCs w:val="28"/>
        </w:rPr>
        <w:t>日披露的《2024年半年度报告》，对募集说明书等相关申请文件涉及的财务数据等相关内容进行了更新。</w:t>
      </w:r>
      <w:r w:rsidR="002A405E" w:rsidRPr="009F0FF5">
        <w:rPr>
          <w:rFonts w:ascii="宋体" w:hAnsi="宋体" w:hint="eastAsia"/>
          <w:sz w:val="28"/>
          <w:szCs w:val="28"/>
        </w:rPr>
        <w:t>（</w:t>
      </w:r>
      <w:r w:rsidRPr="009F0FF5">
        <w:rPr>
          <w:rFonts w:ascii="宋体" w:hAnsi="宋体" w:hint="eastAsia"/>
          <w:sz w:val="28"/>
          <w:szCs w:val="28"/>
        </w:rPr>
        <w:t>具体内容请查阅</w:t>
      </w:r>
      <w:r w:rsidR="005A30E7" w:rsidRPr="009F0FF5">
        <w:rPr>
          <w:rFonts w:ascii="宋体" w:hAnsi="宋体"/>
          <w:sz w:val="28"/>
          <w:szCs w:val="28"/>
        </w:rPr>
        <w:t>2024年8月</w:t>
      </w:r>
      <w:r w:rsidR="005A30E7" w:rsidRPr="009F0FF5">
        <w:rPr>
          <w:rFonts w:ascii="宋体" w:hAnsi="宋体" w:hint="eastAsia"/>
          <w:sz w:val="28"/>
          <w:szCs w:val="28"/>
        </w:rPr>
        <w:t>29</w:t>
      </w:r>
      <w:r w:rsidR="005A30E7" w:rsidRPr="009F0FF5">
        <w:rPr>
          <w:rFonts w:ascii="宋体" w:hAnsi="宋体"/>
          <w:sz w:val="28"/>
          <w:szCs w:val="28"/>
        </w:rPr>
        <w:t>日</w:t>
      </w:r>
      <w:r w:rsidRPr="009F0FF5">
        <w:rPr>
          <w:rFonts w:ascii="宋体" w:hAnsi="宋体" w:hint="eastAsia"/>
          <w:sz w:val="28"/>
          <w:szCs w:val="28"/>
        </w:rPr>
        <w:t>公司在巨潮资讯网</w:t>
      </w:r>
      <w:hyperlink r:id="rId6" w:history="1">
        <w:r w:rsidRPr="009F0FF5">
          <w:rPr>
            <w:rFonts w:ascii="宋体" w:hAnsi="宋体" w:hint="eastAsia"/>
            <w:sz w:val="28"/>
            <w:szCs w:val="28"/>
          </w:rPr>
          <w:t>www.cninfo.com.cn上披露</w:t>
        </w:r>
      </w:hyperlink>
      <w:r w:rsidRPr="009F0FF5">
        <w:rPr>
          <w:rFonts w:ascii="宋体" w:hAnsi="宋体" w:hint="eastAsia"/>
          <w:sz w:val="28"/>
          <w:szCs w:val="28"/>
        </w:rPr>
        <w:t>的相关公告</w:t>
      </w:r>
      <w:r w:rsidR="002A405E" w:rsidRPr="009F0FF5">
        <w:rPr>
          <w:rFonts w:ascii="宋体" w:hAnsi="宋体" w:hint="eastAsia"/>
          <w:sz w:val="28"/>
          <w:szCs w:val="28"/>
        </w:rPr>
        <w:t>）</w:t>
      </w:r>
    </w:p>
    <w:p w14:paraId="5D4E7D25" w14:textId="087870FA" w:rsidR="0035457A" w:rsidRPr="009F0FF5" w:rsidRDefault="00FE7E52" w:rsidP="004A6A77">
      <w:pPr>
        <w:spacing w:line="540" w:lineRule="exact"/>
        <w:ind w:firstLineChars="200" w:firstLine="560"/>
        <w:jc w:val="left"/>
        <w:rPr>
          <w:rFonts w:ascii="宋体" w:hAnsi="宋体" w:hint="eastAsia"/>
          <w:sz w:val="28"/>
          <w:szCs w:val="28"/>
        </w:rPr>
      </w:pPr>
      <w:r>
        <w:rPr>
          <w:rFonts w:ascii="宋体" w:hAnsi="宋体" w:hint="eastAsia"/>
          <w:sz w:val="28"/>
          <w:szCs w:val="28"/>
        </w:rPr>
        <w:t>2024年</w:t>
      </w:r>
      <w:r w:rsidR="0035457A" w:rsidRPr="009F0FF5">
        <w:rPr>
          <w:rFonts w:ascii="宋体" w:hAnsi="宋体" w:hint="eastAsia"/>
          <w:sz w:val="28"/>
          <w:szCs w:val="28"/>
        </w:rPr>
        <w:t>12月9日</w:t>
      </w:r>
      <w:r>
        <w:rPr>
          <w:rFonts w:ascii="宋体" w:hAnsi="宋体" w:hint="eastAsia"/>
          <w:sz w:val="28"/>
          <w:szCs w:val="28"/>
        </w:rPr>
        <w:t>，公司</w:t>
      </w:r>
      <w:r w:rsidR="00AB2B19" w:rsidRPr="009F0FF5">
        <w:rPr>
          <w:rFonts w:ascii="宋体" w:hAnsi="宋体" w:hint="eastAsia"/>
          <w:sz w:val="28"/>
          <w:szCs w:val="28"/>
        </w:rPr>
        <w:t>召开第十届董事会第三十次会议审议通过了《关于公司符合向特定对象发行股票条件的议案》《关于公司向特定对象发行股票方案（二次修订稿）的议案》</w:t>
      </w:r>
      <w:r w:rsidR="00303D47" w:rsidRPr="009F0FF5">
        <w:rPr>
          <w:rFonts w:ascii="宋体" w:hAnsi="宋体" w:hint="eastAsia"/>
          <w:sz w:val="28"/>
          <w:szCs w:val="28"/>
        </w:rPr>
        <w:t>《关于向特定对象发行股票预案（二次修订稿）的议案》《关于向特定对象发行股票发行方案论证分析报告（二次修订稿）的议案》《关于向特定对象发行股票募集资金运用可行性分析报告（二次修订稿）的议案》《关于向特定对象发行股票摊薄即期回报、采取填补措施及相关主体承诺（二次修订稿）的议案》《关于公司与重庆城投签署附条件生效的股份认购协议之补充协议暨关联交易的议</w:t>
      </w:r>
      <w:r w:rsidR="00303D47" w:rsidRPr="009F0FF5">
        <w:rPr>
          <w:rFonts w:ascii="宋体" w:hAnsi="宋体" w:hint="eastAsia"/>
          <w:sz w:val="28"/>
          <w:szCs w:val="28"/>
        </w:rPr>
        <w:lastRenderedPageBreak/>
        <w:t>案》等相关议案。（具体内容请查阅</w:t>
      </w:r>
      <w:r w:rsidR="005A30E7">
        <w:rPr>
          <w:rFonts w:ascii="宋体" w:hAnsi="宋体" w:hint="eastAsia"/>
          <w:sz w:val="28"/>
          <w:szCs w:val="28"/>
        </w:rPr>
        <w:t>2024年12月11日</w:t>
      </w:r>
      <w:r w:rsidR="0044489F">
        <w:rPr>
          <w:rFonts w:ascii="宋体" w:hAnsi="宋体" w:hint="eastAsia"/>
          <w:sz w:val="28"/>
          <w:szCs w:val="28"/>
        </w:rPr>
        <w:t>公司</w:t>
      </w:r>
      <w:r w:rsidR="00303D47" w:rsidRPr="009F0FF5">
        <w:rPr>
          <w:rFonts w:ascii="宋体" w:hAnsi="宋体" w:hint="eastAsia"/>
          <w:sz w:val="28"/>
          <w:szCs w:val="28"/>
        </w:rPr>
        <w:t>在</w:t>
      </w:r>
      <w:r w:rsidR="004E68B8" w:rsidRPr="009F0FF5">
        <w:rPr>
          <w:rFonts w:ascii="宋体" w:hAnsi="宋体" w:hint="eastAsia"/>
          <w:sz w:val="28"/>
          <w:szCs w:val="28"/>
        </w:rPr>
        <w:t>《中国证券报》《证券时报》《上海证券报》及</w:t>
      </w:r>
      <w:r w:rsidR="00303D47" w:rsidRPr="009F0FF5">
        <w:rPr>
          <w:rFonts w:ascii="宋体" w:hAnsi="宋体" w:hint="eastAsia"/>
          <w:sz w:val="28"/>
          <w:szCs w:val="28"/>
        </w:rPr>
        <w:t>巨潮资讯网</w:t>
      </w:r>
      <w:hyperlink r:id="rId7" w:history="1">
        <w:r w:rsidR="00303D47" w:rsidRPr="009F0FF5">
          <w:rPr>
            <w:rFonts w:ascii="宋体" w:hAnsi="宋体" w:hint="eastAsia"/>
            <w:sz w:val="28"/>
            <w:szCs w:val="28"/>
          </w:rPr>
          <w:t>www.cninfo.com.cn上披露</w:t>
        </w:r>
      </w:hyperlink>
      <w:r w:rsidR="00303D47" w:rsidRPr="009F0FF5">
        <w:rPr>
          <w:rFonts w:ascii="宋体" w:hAnsi="宋体" w:hint="eastAsia"/>
          <w:sz w:val="28"/>
          <w:szCs w:val="28"/>
        </w:rPr>
        <w:t>的相关公告）</w:t>
      </w:r>
    </w:p>
    <w:p w14:paraId="31CA8DA1" w14:textId="38AADD08" w:rsidR="00C76775" w:rsidRPr="00A6686D" w:rsidRDefault="00C76775" w:rsidP="00A6686D">
      <w:pPr>
        <w:pStyle w:val="a5"/>
        <w:spacing w:before="0" w:beforeAutospacing="0" w:after="0" w:afterAutospacing="0" w:line="540" w:lineRule="exact"/>
        <w:ind w:firstLineChars="200" w:firstLine="560"/>
        <w:jc w:val="both"/>
        <w:rPr>
          <w:rFonts w:cs="Times New Roman" w:hint="eastAsia"/>
          <w:kern w:val="2"/>
          <w:sz w:val="28"/>
          <w:szCs w:val="28"/>
        </w:rPr>
      </w:pPr>
      <w:r w:rsidRPr="009F0FF5">
        <w:rPr>
          <w:sz w:val="28"/>
          <w:szCs w:val="28"/>
        </w:rPr>
        <w:t>基于上述调整后的发行方案及深交所进一步</w:t>
      </w:r>
      <w:r w:rsidR="002A1511" w:rsidRPr="009F0FF5">
        <w:rPr>
          <w:rFonts w:hint="eastAsia"/>
          <w:sz w:val="28"/>
          <w:szCs w:val="28"/>
        </w:rPr>
        <w:t>完善和补充</w:t>
      </w:r>
      <w:r w:rsidRPr="009F0FF5">
        <w:rPr>
          <w:sz w:val="28"/>
          <w:szCs w:val="28"/>
        </w:rPr>
        <w:t>意见，</w:t>
      </w:r>
      <w:r w:rsidR="00FE7E52" w:rsidRPr="009F0FF5">
        <w:rPr>
          <w:sz w:val="28"/>
          <w:szCs w:val="28"/>
        </w:rPr>
        <w:t>公司</w:t>
      </w:r>
      <w:r w:rsidRPr="009F0FF5">
        <w:rPr>
          <w:sz w:val="28"/>
          <w:szCs w:val="28"/>
        </w:rPr>
        <w:t>会同相关中介机构对审核问询函所列问题、募集说明书等相关申请文件进行了补充与修订。</w:t>
      </w:r>
      <w:r w:rsidR="00956838">
        <w:rPr>
          <w:rFonts w:hint="eastAsia"/>
          <w:sz w:val="28"/>
          <w:szCs w:val="28"/>
        </w:rPr>
        <w:t>（</w:t>
      </w:r>
      <w:r w:rsidR="00FB72C8" w:rsidRPr="009F0FF5">
        <w:rPr>
          <w:rFonts w:hint="eastAsia"/>
          <w:sz w:val="28"/>
          <w:szCs w:val="28"/>
        </w:rPr>
        <w:t>具体内容请查阅</w:t>
      </w:r>
      <w:r w:rsidR="001C0BD2">
        <w:rPr>
          <w:rFonts w:hint="eastAsia"/>
          <w:sz w:val="28"/>
          <w:szCs w:val="28"/>
        </w:rPr>
        <w:t>2024年12月1</w:t>
      </w:r>
      <w:r w:rsidR="0082034E">
        <w:rPr>
          <w:rFonts w:hint="eastAsia"/>
          <w:sz w:val="28"/>
          <w:szCs w:val="28"/>
        </w:rPr>
        <w:t>4</w:t>
      </w:r>
      <w:r w:rsidR="001C0BD2">
        <w:rPr>
          <w:rFonts w:hint="eastAsia"/>
          <w:sz w:val="28"/>
          <w:szCs w:val="28"/>
        </w:rPr>
        <w:t>日</w:t>
      </w:r>
      <w:r w:rsidRPr="009F0FF5">
        <w:rPr>
          <w:sz w:val="28"/>
          <w:szCs w:val="28"/>
        </w:rPr>
        <w:t>公司在巨潮资讯网www.cninfo.com.cn披露的相关公告</w:t>
      </w:r>
      <w:r w:rsidR="00956838">
        <w:rPr>
          <w:rFonts w:hint="eastAsia"/>
          <w:sz w:val="28"/>
          <w:szCs w:val="28"/>
        </w:rPr>
        <w:t>）</w:t>
      </w:r>
    </w:p>
    <w:p w14:paraId="1B221745" w14:textId="35710163" w:rsidR="004A6A77" w:rsidRPr="009F0FF5" w:rsidRDefault="004A6A77" w:rsidP="004A6A77">
      <w:pPr>
        <w:spacing w:line="540" w:lineRule="exact"/>
        <w:ind w:firstLineChars="200" w:firstLine="560"/>
        <w:jc w:val="left"/>
        <w:rPr>
          <w:rFonts w:ascii="宋体" w:hAnsi="宋体" w:hint="eastAsia"/>
          <w:sz w:val="28"/>
          <w:szCs w:val="28"/>
        </w:rPr>
      </w:pPr>
      <w:r w:rsidRPr="009F0FF5">
        <w:rPr>
          <w:rFonts w:ascii="宋体" w:hAnsi="宋体"/>
          <w:sz w:val="28"/>
          <w:szCs w:val="28"/>
        </w:rPr>
        <w:t>公司本次向特定对象发行股票事项尚需通过深交所审核，并经中国证券监督管理委员会（以下简称“中国证监会”）同意注册后方可实施，最终能否通过深交所审核，并获得中国证监会同意注册的批复及其时间尚存在不确定性。公司将根据上述事项的进展情况，按照相关法律法规的规定和要求及时履行信息披露义务，敬请广大投资者注意投资风险</w:t>
      </w:r>
      <w:r w:rsidRPr="009F0FF5">
        <w:rPr>
          <w:rFonts w:ascii="宋体" w:hAnsi="宋体" w:hint="eastAsia"/>
          <w:sz w:val="28"/>
          <w:szCs w:val="28"/>
        </w:rPr>
        <w:t>。</w:t>
      </w:r>
    </w:p>
    <w:p w14:paraId="5E33B3AE" w14:textId="77777777" w:rsidR="004E68B8" w:rsidRPr="009F0FF5" w:rsidRDefault="00785DF4" w:rsidP="004A6A77">
      <w:pPr>
        <w:pStyle w:val="a5"/>
        <w:spacing w:before="0" w:beforeAutospacing="0" w:after="0" w:afterAutospacing="0" w:line="540" w:lineRule="exact"/>
        <w:jc w:val="both"/>
        <w:rPr>
          <w:rFonts w:cs="Times New Roman" w:hint="eastAsia"/>
          <w:kern w:val="2"/>
          <w:sz w:val="28"/>
          <w:szCs w:val="28"/>
        </w:rPr>
      </w:pPr>
      <w:r w:rsidRPr="009F0FF5">
        <w:rPr>
          <w:rFonts w:cs="Times New Roman" w:hint="eastAsia"/>
          <w:kern w:val="2"/>
          <w:sz w:val="28"/>
          <w:szCs w:val="28"/>
        </w:rPr>
        <w:t xml:space="preserve">   </w:t>
      </w:r>
    </w:p>
    <w:p w14:paraId="48B09BB8" w14:textId="7B8CA8C6" w:rsidR="004C7921" w:rsidRPr="009F0FF5" w:rsidRDefault="00785DF4" w:rsidP="004E68B8">
      <w:pPr>
        <w:pStyle w:val="a5"/>
        <w:spacing w:before="0" w:beforeAutospacing="0" w:after="0" w:afterAutospacing="0" w:line="540" w:lineRule="exact"/>
        <w:ind w:firstLineChars="200" w:firstLine="560"/>
        <w:jc w:val="both"/>
        <w:rPr>
          <w:rFonts w:cs="Times New Roman" w:hint="eastAsia"/>
          <w:kern w:val="2"/>
          <w:sz w:val="28"/>
          <w:szCs w:val="28"/>
        </w:rPr>
      </w:pPr>
      <w:r w:rsidRPr="009F0FF5">
        <w:rPr>
          <w:rFonts w:cs="Times New Roman" w:hint="eastAsia"/>
          <w:kern w:val="2"/>
          <w:sz w:val="28"/>
          <w:szCs w:val="28"/>
        </w:rPr>
        <w:t>特此公告</w:t>
      </w:r>
    </w:p>
    <w:p w14:paraId="3A52B072" w14:textId="6E24EF6C" w:rsidR="004C7921" w:rsidRPr="009F0FF5" w:rsidRDefault="00000000" w:rsidP="004A6A77">
      <w:pPr>
        <w:pStyle w:val="a5"/>
        <w:spacing w:before="0" w:beforeAutospacing="0" w:after="0" w:afterAutospacing="0" w:line="540" w:lineRule="exact"/>
        <w:ind w:firstLineChars="200" w:firstLine="560"/>
        <w:jc w:val="both"/>
        <w:rPr>
          <w:rFonts w:cs="Times New Roman" w:hint="eastAsia"/>
          <w:kern w:val="2"/>
          <w:sz w:val="28"/>
          <w:szCs w:val="28"/>
        </w:rPr>
      </w:pPr>
      <w:r w:rsidRPr="009F0FF5">
        <w:rPr>
          <w:rFonts w:cs="Times New Roman" w:hint="eastAsia"/>
          <w:kern w:val="2"/>
          <w:sz w:val="28"/>
          <w:szCs w:val="28"/>
        </w:rPr>
        <w:t xml:space="preserve">                          重庆渝开发股份有限公司董事会</w:t>
      </w:r>
    </w:p>
    <w:p w14:paraId="0AA910AE" w14:textId="246B187C" w:rsidR="004C7921" w:rsidRPr="009F0FF5" w:rsidRDefault="00000000" w:rsidP="004A6A77">
      <w:pPr>
        <w:pStyle w:val="a5"/>
        <w:spacing w:before="0" w:beforeAutospacing="0" w:after="0" w:afterAutospacing="0" w:line="540" w:lineRule="exact"/>
        <w:ind w:firstLineChars="200" w:firstLine="560"/>
        <w:jc w:val="both"/>
        <w:rPr>
          <w:rFonts w:cs="Times New Roman" w:hint="eastAsia"/>
          <w:kern w:val="2"/>
          <w:sz w:val="28"/>
          <w:szCs w:val="28"/>
        </w:rPr>
      </w:pPr>
      <w:r w:rsidRPr="009F0FF5">
        <w:rPr>
          <w:rFonts w:cs="Times New Roman" w:hint="eastAsia"/>
          <w:kern w:val="2"/>
          <w:sz w:val="28"/>
          <w:szCs w:val="28"/>
        </w:rPr>
        <w:t xml:space="preserve">                                  202</w:t>
      </w:r>
      <w:r w:rsidR="0093564C" w:rsidRPr="009F0FF5">
        <w:rPr>
          <w:rFonts w:cs="Times New Roman" w:hint="eastAsia"/>
          <w:kern w:val="2"/>
          <w:sz w:val="28"/>
          <w:szCs w:val="28"/>
        </w:rPr>
        <w:t>4</w:t>
      </w:r>
      <w:r w:rsidRPr="009F0FF5">
        <w:rPr>
          <w:rFonts w:cs="Times New Roman" w:hint="eastAsia"/>
          <w:kern w:val="2"/>
          <w:sz w:val="28"/>
          <w:szCs w:val="28"/>
        </w:rPr>
        <w:t>年</w:t>
      </w:r>
      <w:r w:rsidR="00E91E00" w:rsidRPr="009F0FF5">
        <w:rPr>
          <w:rFonts w:cs="Times New Roman" w:hint="eastAsia"/>
          <w:kern w:val="2"/>
          <w:sz w:val="28"/>
          <w:szCs w:val="28"/>
        </w:rPr>
        <w:t>1</w:t>
      </w:r>
      <w:r w:rsidR="00C76775" w:rsidRPr="009F0FF5">
        <w:rPr>
          <w:rFonts w:cs="Times New Roman" w:hint="eastAsia"/>
          <w:kern w:val="2"/>
          <w:sz w:val="28"/>
          <w:szCs w:val="28"/>
        </w:rPr>
        <w:t>2</w:t>
      </w:r>
      <w:r w:rsidRPr="009F0FF5">
        <w:rPr>
          <w:rFonts w:cs="Times New Roman" w:hint="eastAsia"/>
          <w:kern w:val="2"/>
          <w:sz w:val="28"/>
          <w:szCs w:val="28"/>
        </w:rPr>
        <w:t>月</w:t>
      </w:r>
      <w:r w:rsidR="00C76775" w:rsidRPr="009F0FF5">
        <w:rPr>
          <w:rFonts w:cs="Times New Roman" w:hint="eastAsia"/>
          <w:kern w:val="2"/>
          <w:sz w:val="28"/>
          <w:szCs w:val="28"/>
        </w:rPr>
        <w:t>1</w:t>
      </w:r>
      <w:r w:rsidR="002A0364">
        <w:rPr>
          <w:rFonts w:cs="Times New Roman" w:hint="eastAsia"/>
          <w:kern w:val="2"/>
          <w:sz w:val="28"/>
          <w:szCs w:val="28"/>
        </w:rPr>
        <w:t>4</w:t>
      </w:r>
      <w:r w:rsidRPr="009F0FF5">
        <w:rPr>
          <w:rFonts w:cs="Times New Roman" w:hint="eastAsia"/>
          <w:kern w:val="2"/>
          <w:sz w:val="28"/>
          <w:szCs w:val="28"/>
        </w:rPr>
        <w:t>日</w:t>
      </w:r>
    </w:p>
    <w:sectPr w:rsidR="004C7921" w:rsidRPr="009F0FF5">
      <w:headerReference w:type="default" r:id="rId8"/>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88A5F" w14:textId="77777777" w:rsidR="0041552D" w:rsidRDefault="0041552D">
      <w:r>
        <w:separator/>
      </w:r>
    </w:p>
  </w:endnote>
  <w:endnote w:type="continuationSeparator" w:id="0">
    <w:p w14:paraId="68CAEFD3" w14:textId="77777777" w:rsidR="0041552D" w:rsidRDefault="00415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2DCAF" w14:textId="77777777" w:rsidR="0041552D" w:rsidRDefault="0041552D">
      <w:r>
        <w:separator/>
      </w:r>
    </w:p>
  </w:footnote>
  <w:footnote w:type="continuationSeparator" w:id="0">
    <w:p w14:paraId="2CEEAD48" w14:textId="77777777" w:rsidR="0041552D" w:rsidRDefault="00415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23ED" w14:textId="77777777" w:rsidR="004C7921" w:rsidRDefault="004C7921">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k4YTBiYjc2YzQxNTgwYjQ5MGJlODgyNTI3YmI4ZWUifQ=="/>
  </w:docVars>
  <w:rsids>
    <w:rsidRoot w:val="7F5E785B"/>
    <w:rsid w:val="0000362B"/>
    <w:rsid w:val="00015DB3"/>
    <w:rsid w:val="00021642"/>
    <w:rsid w:val="00021A8A"/>
    <w:rsid w:val="00027E5F"/>
    <w:rsid w:val="00066C48"/>
    <w:rsid w:val="00072E81"/>
    <w:rsid w:val="00073999"/>
    <w:rsid w:val="000747C1"/>
    <w:rsid w:val="00075C91"/>
    <w:rsid w:val="0009797C"/>
    <w:rsid w:val="000F487E"/>
    <w:rsid w:val="00110DAB"/>
    <w:rsid w:val="00167696"/>
    <w:rsid w:val="00170F47"/>
    <w:rsid w:val="001846BB"/>
    <w:rsid w:val="001C0BD2"/>
    <w:rsid w:val="0020136D"/>
    <w:rsid w:val="002019B8"/>
    <w:rsid w:val="002222E3"/>
    <w:rsid w:val="00244DF1"/>
    <w:rsid w:val="002608B2"/>
    <w:rsid w:val="002859D3"/>
    <w:rsid w:val="00290E14"/>
    <w:rsid w:val="002A0364"/>
    <w:rsid w:val="002A1511"/>
    <w:rsid w:val="002A2A7C"/>
    <w:rsid w:val="002A3CC5"/>
    <w:rsid w:val="002A405E"/>
    <w:rsid w:val="00303D47"/>
    <w:rsid w:val="003141AD"/>
    <w:rsid w:val="00324D11"/>
    <w:rsid w:val="003452FF"/>
    <w:rsid w:val="0035457A"/>
    <w:rsid w:val="0038777A"/>
    <w:rsid w:val="003970C9"/>
    <w:rsid w:val="003E02FE"/>
    <w:rsid w:val="003E0612"/>
    <w:rsid w:val="003E5B96"/>
    <w:rsid w:val="0041552D"/>
    <w:rsid w:val="0044489F"/>
    <w:rsid w:val="00453C45"/>
    <w:rsid w:val="0048730D"/>
    <w:rsid w:val="00493E8D"/>
    <w:rsid w:val="004A6A77"/>
    <w:rsid w:val="004B05DC"/>
    <w:rsid w:val="004B6C6A"/>
    <w:rsid w:val="004C7921"/>
    <w:rsid w:val="004D2783"/>
    <w:rsid w:val="004E0F4F"/>
    <w:rsid w:val="004E3DD8"/>
    <w:rsid w:val="004E68B8"/>
    <w:rsid w:val="005058FC"/>
    <w:rsid w:val="00520908"/>
    <w:rsid w:val="00550666"/>
    <w:rsid w:val="005537AC"/>
    <w:rsid w:val="005571BD"/>
    <w:rsid w:val="005579AD"/>
    <w:rsid w:val="00561C16"/>
    <w:rsid w:val="005859B8"/>
    <w:rsid w:val="005A0BAC"/>
    <w:rsid w:val="005A30E7"/>
    <w:rsid w:val="005A4C4E"/>
    <w:rsid w:val="005B3CDF"/>
    <w:rsid w:val="005B5122"/>
    <w:rsid w:val="005E44EE"/>
    <w:rsid w:val="005F1A8E"/>
    <w:rsid w:val="00604528"/>
    <w:rsid w:val="00607A3A"/>
    <w:rsid w:val="00611BBF"/>
    <w:rsid w:val="006161FD"/>
    <w:rsid w:val="006177AC"/>
    <w:rsid w:val="0062267D"/>
    <w:rsid w:val="0064134D"/>
    <w:rsid w:val="00644A56"/>
    <w:rsid w:val="00655EBE"/>
    <w:rsid w:val="00655F55"/>
    <w:rsid w:val="0065618B"/>
    <w:rsid w:val="00686D9D"/>
    <w:rsid w:val="006929EE"/>
    <w:rsid w:val="006D2888"/>
    <w:rsid w:val="006E780E"/>
    <w:rsid w:val="00703221"/>
    <w:rsid w:val="00785DF4"/>
    <w:rsid w:val="00790110"/>
    <w:rsid w:val="00794298"/>
    <w:rsid w:val="007A407C"/>
    <w:rsid w:val="0082034E"/>
    <w:rsid w:val="00854CDA"/>
    <w:rsid w:val="00882633"/>
    <w:rsid w:val="0089148E"/>
    <w:rsid w:val="008A43A9"/>
    <w:rsid w:val="008D6608"/>
    <w:rsid w:val="008D77EF"/>
    <w:rsid w:val="009002B6"/>
    <w:rsid w:val="009005B9"/>
    <w:rsid w:val="0093564C"/>
    <w:rsid w:val="009462B4"/>
    <w:rsid w:val="00952A07"/>
    <w:rsid w:val="0095360F"/>
    <w:rsid w:val="009538C7"/>
    <w:rsid w:val="00956838"/>
    <w:rsid w:val="009D039E"/>
    <w:rsid w:val="009F0FF5"/>
    <w:rsid w:val="00A078BA"/>
    <w:rsid w:val="00A337D6"/>
    <w:rsid w:val="00A46543"/>
    <w:rsid w:val="00A601F1"/>
    <w:rsid w:val="00A6686D"/>
    <w:rsid w:val="00A730AB"/>
    <w:rsid w:val="00AA5927"/>
    <w:rsid w:val="00AB2B19"/>
    <w:rsid w:val="00AC27FA"/>
    <w:rsid w:val="00AC3782"/>
    <w:rsid w:val="00AC3CE2"/>
    <w:rsid w:val="00AC5494"/>
    <w:rsid w:val="00AD4B4A"/>
    <w:rsid w:val="00AF7643"/>
    <w:rsid w:val="00B010E1"/>
    <w:rsid w:val="00B0563E"/>
    <w:rsid w:val="00B1289F"/>
    <w:rsid w:val="00B45139"/>
    <w:rsid w:val="00B5516C"/>
    <w:rsid w:val="00B972AE"/>
    <w:rsid w:val="00BC4E64"/>
    <w:rsid w:val="00BC637A"/>
    <w:rsid w:val="00C05E20"/>
    <w:rsid w:val="00C067F2"/>
    <w:rsid w:val="00C50478"/>
    <w:rsid w:val="00C5277D"/>
    <w:rsid w:val="00C63027"/>
    <w:rsid w:val="00C63BBA"/>
    <w:rsid w:val="00C6553D"/>
    <w:rsid w:val="00C76775"/>
    <w:rsid w:val="00C83D4F"/>
    <w:rsid w:val="00CC309E"/>
    <w:rsid w:val="00CE6703"/>
    <w:rsid w:val="00D20135"/>
    <w:rsid w:val="00D20DD9"/>
    <w:rsid w:val="00D304DE"/>
    <w:rsid w:val="00D433C9"/>
    <w:rsid w:val="00D45211"/>
    <w:rsid w:val="00D86F00"/>
    <w:rsid w:val="00DA6FF4"/>
    <w:rsid w:val="00E23BB0"/>
    <w:rsid w:val="00E80DA1"/>
    <w:rsid w:val="00E91E00"/>
    <w:rsid w:val="00EA7377"/>
    <w:rsid w:val="00EB6621"/>
    <w:rsid w:val="00EC3A4D"/>
    <w:rsid w:val="00ED05DF"/>
    <w:rsid w:val="00EF7C4A"/>
    <w:rsid w:val="00F07E17"/>
    <w:rsid w:val="00F159CB"/>
    <w:rsid w:val="00F26E19"/>
    <w:rsid w:val="00F32500"/>
    <w:rsid w:val="00F43520"/>
    <w:rsid w:val="00F604CF"/>
    <w:rsid w:val="00FA41DF"/>
    <w:rsid w:val="00FB72C8"/>
    <w:rsid w:val="00FE7E52"/>
    <w:rsid w:val="00FF43B7"/>
    <w:rsid w:val="7F5E7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8830D"/>
  <w15:docId w15:val="{07A3ADDB-1D1A-430C-B94C-D45DEAC3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359" w:firstLine="482"/>
    </w:pPr>
    <w:rPr>
      <w:rFonts w:ascii="仿宋_GB2312" w:eastAsia="仿宋_GB2312" w:hint="eastAsia"/>
      <w:sz w:val="30"/>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paragraph" w:styleId="a6">
    <w:name w:val="footer"/>
    <w:basedOn w:val="a"/>
    <w:link w:val="a7"/>
    <w:rsid w:val="00027E5F"/>
    <w:pPr>
      <w:tabs>
        <w:tab w:val="center" w:pos="4153"/>
        <w:tab w:val="right" w:pos="8306"/>
      </w:tabs>
      <w:snapToGrid w:val="0"/>
      <w:jc w:val="left"/>
    </w:pPr>
    <w:rPr>
      <w:sz w:val="18"/>
      <w:szCs w:val="18"/>
    </w:rPr>
  </w:style>
  <w:style w:type="character" w:customStyle="1" w:styleId="a7">
    <w:name w:val="页脚 字符"/>
    <w:basedOn w:val="a0"/>
    <w:link w:val="a6"/>
    <w:rsid w:val="00027E5F"/>
    <w:rPr>
      <w:rFonts w:ascii="Times New Roman" w:eastAsia="宋体" w:hAnsi="Times New Roman" w:cs="Times New Roman"/>
      <w:kern w:val="2"/>
      <w:sz w:val="18"/>
      <w:szCs w:val="18"/>
    </w:rPr>
  </w:style>
  <w:style w:type="character" w:styleId="a8">
    <w:name w:val="Hyperlink"/>
    <w:basedOn w:val="a0"/>
    <w:rsid w:val="004B05DC"/>
    <w:rPr>
      <w:color w:val="0563C1" w:themeColor="hyperlink"/>
      <w:u w:val="single"/>
    </w:rPr>
  </w:style>
  <w:style w:type="character" w:styleId="a9">
    <w:name w:val="Unresolved Mention"/>
    <w:basedOn w:val="a0"/>
    <w:uiPriority w:val="99"/>
    <w:semiHidden/>
    <w:unhideWhenUsed/>
    <w:rsid w:val="004B0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ninfo.com.cn&#19978;&#25259;&#387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info.com.cn&#19978;&#25259;&#3870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dc:creator>
  <cp:lastModifiedBy>勤 庞</cp:lastModifiedBy>
  <cp:revision>11</cp:revision>
  <dcterms:created xsi:type="dcterms:W3CDTF">2024-12-12T09:04:00Z</dcterms:created>
  <dcterms:modified xsi:type="dcterms:W3CDTF">2024-12-13T02:47:00Z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EC6922C2E12F4DF1B0415C03285D13AB_11</vt:lpwstr>
  </property>
</Properties>
</file>