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18AA2">
      <w:pPr>
        <w:tabs>
          <w:tab w:val="left" w:pos="1418"/>
        </w:tabs>
        <w:autoSpaceDE w:val="0"/>
        <w:autoSpaceDN w:val="0"/>
        <w:adjustRightInd w:val="0"/>
        <w:snapToGrid w:val="0"/>
        <w:spacing w:line="700" w:lineRule="exact"/>
        <w:ind w:firstLine="810" w:firstLineChars="300"/>
        <w:jc w:val="left"/>
        <w:rPr>
          <w:rFonts w:asciiTheme="majorEastAsia" w:hAnsiTheme="majorEastAsia" w:eastAsiaTheme="majorEastAsia" w:cstheme="majorEastAsia"/>
          <w:b/>
          <w:snapToGrid w:val="0"/>
          <w:spacing w:val="-4"/>
          <w:w w:val="99"/>
          <w:sz w:val="28"/>
          <w:szCs w:val="28"/>
        </w:rPr>
      </w:pPr>
      <w:r>
        <w:rPr>
          <w:rFonts w:hint="eastAsia" w:asciiTheme="majorEastAsia" w:hAnsiTheme="majorEastAsia" w:eastAsiaTheme="majorEastAsia" w:cstheme="majorEastAsia"/>
          <w:b/>
          <w:snapToGrid w:val="0"/>
          <w:spacing w:val="-4"/>
          <w:w w:val="99"/>
          <w:sz w:val="28"/>
          <w:szCs w:val="28"/>
        </w:rPr>
        <w:t>项目名称：</w:t>
      </w:r>
      <w:r>
        <w:rPr>
          <w:rFonts w:asciiTheme="majorEastAsia" w:hAnsiTheme="majorEastAsia" w:eastAsiaTheme="majorEastAsia" w:cstheme="majorEastAsia"/>
          <w:b/>
          <w:snapToGrid w:val="0"/>
          <w:spacing w:val="-4"/>
          <w:w w:val="99"/>
          <w:sz w:val="28"/>
          <w:szCs w:val="28"/>
        </w:rPr>
        <w:t>城南家园电梯维修包干服务</w:t>
      </w:r>
    </w:p>
    <w:p w14:paraId="311FAFAC">
      <w:pPr>
        <w:tabs>
          <w:tab w:val="left" w:pos="1418"/>
        </w:tabs>
        <w:autoSpaceDE w:val="0"/>
        <w:autoSpaceDN w:val="0"/>
        <w:adjustRightInd w:val="0"/>
        <w:snapToGrid w:val="0"/>
        <w:spacing w:line="700" w:lineRule="exact"/>
        <w:ind w:firstLine="834" w:firstLineChars="300"/>
        <w:jc w:val="left"/>
        <w:rPr>
          <w:rFonts w:asciiTheme="majorEastAsia" w:hAnsiTheme="majorEastAsia" w:eastAsiaTheme="majorEastAsia" w:cstheme="majorEastAsia"/>
          <w:b/>
          <w:snapToGrid w:val="0"/>
          <w:w w:val="99"/>
          <w:sz w:val="28"/>
          <w:szCs w:val="28"/>
        </w:rPr>
      </w:pPr>
      <w:r>
        <w:rPr>
          <w:rFonts w:hint="eastAsia" w:asciiTheme="majorEastAsia" w:hAnsiTheme="majorEastAsia" w:eastAsiaTheme="majorEastAsia" w:cstheme="majorEastAsia"/>
          <w:b/>
          <w:snapToGrid w:val="0"/>
          <w:w w:val="99"/>
          <w:sz w:val="28"/>
          <w:szCs w:val="28"/>
        </w:rPr>
        <w:t>项目编号：FG2500171119A</w:t>
      </w:r>
    </w:p>
    <w:p w14:paraId="623C9CF8">
      <w:pPr>
        <w:autoSpaceDE w:val="0"/>
        <w:autoSpaceDN w:val="0"/>
        <w:adjustRightInd w:val="0"/>
        <w:snapToGrid w:val="0"/>
        <w:spacing w:line="360" w:lineRule="auto"/>
        <w:jc w:val="left"/>
        <w:rPr>
          <w:rFonts w:asciiTheme="majorEastAsia" w:hAnsiTheme="majorEastAsia" w:eastAsiaTheme="majorEastAsia" w:cstheme="majorEastAsia"/>
          <w:kern w:val="0"/>
          <w:sz w:val="20"/>
        </w:rPr>
      </w:pPr>
    </w:p>
    <w:p w14:paraId="52C9BDD8">
      <w:pPr>
        <w:rPr>
          <w:rFonts w:asciiTheme="majorEastAsia" w:hAnsiTheme="majorEastAsia" w:eastAsiaTheme="majorEastAsia" w:cstheme="majorEastAsia"/>
          <w:b/>
          <w:bCs/>
          <w:sz w:val="32"/>
          <w:szCs w:val="32"/>
        </w:rPr>
      </w:pPr>
    </w:p>
    <w:p w14:paraId="19EFD15F">
      <w:pPr>
        <w:rPr>
          <w:rFonts w:asciiTheme="majorEastAsia" w:hAnsiTheme="majorEastAsia" w:eastAsiaTheme="majorEastAsia" w:cstheme="majorEastAsia"/>
          <w:b/>
          <w:bCs/>
          <w:sz w:val="32"/>
          <w:szCs w:val="32"/>
        </w:rPr>
      </w:pPr>
    </w:p>
    <w:p w14:paraId="00319D8E">
      <w:pPr>
        <w:pStyle w:val="19"/>
        <w:rPr>
          <w:rFonts w:asciiTheme="majorEastAsia" w:hAnsiTheme="majorEastAsia" w:eastAsiaTheme="majorEastAsia" w:cstheme="majorEastAsia"/>
        </w:rPr>
      </w:pPr>
    </w:p>
    <w:p w14:paraId="612E64AC">
      <w:pPr>
        <w:jc w:val="center"/>
        <w:rPr>
          <w:rFonts w:asciiTheme="majorEastAsia" w:hAnsiTheme="majorEastAsia" w:eastAsiaTheme="majorEastAsia" w:cstheme="majorEastAsia"/>
          <w:b/>
          <w:sz w:val="48"/>
          <w:szCs w:val="84"/>
        </w:rPr>
      </w:pPr>
    </w:p>
    <w:p w14:paraId="402D9832">
      <w:pPr>
        <w:jc w:val="center"/>
        <w:rPr>
          <w:rFonts w:asciiTheme="majorEastAsia" w:hAnsiTheme="majorEastAsia" w:eastAsiaTheme="majorEastAsia" w:cstheme="majorEastAsia"/>
          <w:b/>
          <w:sz w:val="84"/>
          <w:szCs w:val="84"/>
        </w:rPr>
      </w:pPr>
      <w:r>
        <w:rPr>
          <w:rFonts w:hint="eastAsia" w:asciiTheme="majorEastAsia" w:hAnsiTheme="majorEastAsia" w:eastAsiaTheme="majorEastAsia" w:cstheme="majorEastAsia"/>
          <w:b/>
          <w:sz w:val="84"/>
          <w:szCs w:val="84"/>
        </w:rPr>
        <w:t>竞 争 性 比 选 文 件</w:t>
      </w:r>
    </w:p>
    <w:p w14:paraId="162B1B3B">
      <w:pPr>
        <w:rPr>
          <w:rFonts w:asciiTheme="majorEastAsia" w:hAnsiTheme="majorEastAsia" w:eastAsiaTheme="majorEastAsia" w:cstheme="majorEastAsia"/>
          <w:b/>
          <w:bCs/>
          <w:sz w:val="28"/>
        </w:rPr>
      </w:pPr>
    </w:p>
    <w:p w14:paraId="48B5F566">
      <w:pPr>
        <w:rPr>
          <w:rFonts w:asciiTheme="majorEastAsia" w:hAnsiTheme="majorEastAsia" w:eastAsiaTheme="majorEastAsia" w:cstheme="majorEastAsia"/>
          <w:b/>
          <w:bCs/>
          <w:sz w:val="28"/>
        </w:rPr>
      </w:pPr>
    </w:p>
    <w:p w14:paraId="4BCD5C5F">
      <w:pPr>
        <w:rPr>
          <w:rFonts w:asciiTheme="majorEastAsia" w:hAnsiTheme="majorEastAsia" w:eastAsiaTheme="majorEastAsia" w:cstheme="majorEastAsia"/>
          <w:sz w:val="32"/>
        </w:rPr>
      </w:pPr>
    </w:p>
    <w:p w14:paraId="40F89AA5">
      <w:pPr>
        <w:jc w:val="center"/>
        <w:rPr>
          <w:rFonts w:asciiTheme="majorEastAsia" w:hAnsiTheme="majorEastAsia" w:eastAsiaTheme="majorEastAsia" w:cstheme="majorEastAsia"/>
          <w:b/>
          <w:bCs/>
          <w:sz w:val="28"/>
        </w:rPr>
      </w:pPr>
    </w:p>
    <w:p w14:paraId="650BF58A">
      <w:pPr>
        <w:rPr>
          <w:rFonts w:asciiTheme="majorEastAsia" w:hAnsiTheme="majorEastAsia" w:eastAsiaTheme="majorEastAsia" w:cstheme="majorEastAsia"/>
          <w:b/>
          <w:bCs/>
          <w:sz w:val="28"/>
        </w:rPr>
      </w:pPr>
    </w:p>
    <w:p w14:paraId="59DA7C4D">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Cs w:val="21"/>
        </w:rPr>
        <w:drawing>
          <wp:inline distT="0" distB="0" distL="114300" distR="114300">
            <wp:extent cx="2085975" cy="1258570"/>
            <wp:effectExtent l="0" t="0" r="0" b="0"/>
            <wp:docPr id="9" name="图片 1" descr="说明: 说明: 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说明: 招采LOGO"/>
                    <pic:cNvPicPr>
                      <a:picLocks noChangeAspect="1"/>
                    </pic:cNvPicPr>
                  </pic:nvPicPr>
                  <pic:blipFill>
                    <a:blip r:embed="rId10"/>
                    <a:stretch>
                      <a:fillRect/>
                    </a:stretch>
                  </pic:blipFill>
                  <pic:spPr>
                    <a:xfrm>
                      <a:off x="0" y="0"/>
                      <a:ext cx="2096377" cy="1265269"/>
                    </a:xfrm>
                    <a:prstGeom prst="rect">
                      <a:avLst/>
                    </a:prstGeom>
                    <a:noFill/>
                    <a:ln>
                      <a:noFill/>
                    </a:ln>
                  </pic:spPr>
                </pic:pic>
              </a:graphicData>
            </a:graphic>
          </wp:inline>
        </w:drawing>
      </w:r>
    </w:p>
    <w:p w14:paraId="1E25984D">
      <w:pPr>
        <w:rPr>
          <w:rFonts w:asciiTheme="majorEastAsia" w:hAnsiTheme="majorEastAsia" w:eastAsiaTheme="majorEastAsia" w:cstheme="majorEastAsia"/>
          <w:sz w:val="32"/>
        </w:rPr>
      </w:pPr>
    </w:p>
    <w:p w14:paraId="1DDCE2BB">
      <w:pPr>
        <w:pStyle w:val="45"/>
        <w:jc w:val="both"/>
        <w:rPr>
          <w:rFonts w:asciiTheme="majorEastAsia" w:hAnsiTheme="majorEastAsia" w:eastAsiaTheme="majorEastAsia" w:cstheme="majorEastAsia"/>
          <w:sz w:val="32"/>
          <w:lang w:eastAsia="zh-CN"/>
        </w:rPr>
      </w:pPr>
    </w:p>
    <w:p w14:paraId="38EE8994">
      <w:pPr>
        <w:pStyle w:val="45"/>
        <w:rPr>
          <w:rFonts w:asciiTheme="majorEastAsia" w:hAnsiTheme="majorEastAsia" w:eastAsiaTheme="majorEastAsia" w:cstheme="majorEastAsia"/>
          <w:sz w:val="32"/>
          <w:lang w:eastAsia="zh-CN"/>
        </w:rPr>
      </w:pPr>
    </w:p>
    <w:p w14:paraId="712E0740">
      <w:pPr>
        <w:pStyle w:val="45"/>
        <w:rPr>
          <w:rFonts w:asciiTheme="majorEastAsia" w:hAnsiTheme="majorEastAsia" w:eastAsiaTheme="majorEastAsia" w:cstheme="majorEastAsia"/>
          <w:sz w:val="32"/>
          <w:lang w:eastAsia="zh-CN"/>
        </w:rPr>
      </w:pPr>
    </w:p>
    <w:p w14:paraId="31FB8604">
      <w:pPr>
        <w:pStyle w:val="45"/>
        <w:jc w:val="both"/>
        <w:rPr>
          <w:rFonts w:asciiTheme="majorEastAsia" w:hAnsiTheme="majorEastAsia" w:eastAsiaTheme="majorEastAsia" w:cstheme="majorEastAsia"/>
          <w:sz w:val="32"/>
          <w:lang w:eastAsia="zh-CN"/>
        </w:rPr>
      </w:pPr>
    </w:p>
    <w:p w14:paraId="00CC20D1">
      <w:pPr>
        <w:widowControl/>
        <w:ind w:firstLine="562" w:firstLineChars="200"/>
        <w:jc w:val="left"/>
        <w:rPr>
          <w:rFonts w:asciiTheme="majorEastAsia" w:hAnsiTheme="majorEastAsia" w:eastAsiaTheme="majorEastAsia" w:cstheme="majorEastAsia"/>
          <w:b/>
          <w:sz w:val="28"/>
          <w:szCs w:val="22"/>
        </w:rPr>
      </w:pPr>
    </w:p>
    <w:p w14:paraId="60E15B21">
      <w:pPr>
        <w:autoSpaceDE w:val="0"/>
        <w:autoSpaceDN w:val="0"/>
        <w:spacing w:line="700" w:lineRule="exact"/>
        <w:ind w:firstLine="891" w:firstLineChars="300"/>
        <w:rPr>
          <w:rFonts w:asciiTheme="majorEastAsia" w:hAnsiTheme="majorEastAsia" w:eastAsiaTheme="majorEastAsia" w:cstheme="majorEastAsia"/>
          <w:b/>
          <w:spacing w:val="8"/>
          <w:sz w:val="28"/>
          <w:szCs w:val="28"/>
        </w:rPr>
      </w:pPr>
      <w:r>
        <w:rPr>
          <w:rFonts w:hint="eastAsia" w:asciiTheme="majorEastAsia" w:hAnsiTheme="majorEastAsia" w:eastAsiaTheme="majorEastAsia" w:cstheme="majorEastAsia"/>
          <w:b/>
          <w:spacing w:val="8"/>
          <w:sz w:val="28"/>
          <w:szCs w:val="28"/>
        </w:rPr>
        <w:t>比 选 人：</w:t>
      </w:r>
      <w:r>
        <w:rPr>
          <w:rFonts w:hint="eastAsia" w:asciiTheme="majorEastAsia" w:hAnsiTheme="majorEastAsia" w:eastAsiaTheme="majorEastAsia" w:cstheme="majorEastAsia"/>
          <w:b/>
          <w:spacing w:val="8"/>
          <w:sz w:val="28"/>
          <w:szCs w:val="28"/>
          <w:u w:val="single"/>
        </w:rPr>
        <w:t>重庆渝开发物业管理有限公司</w:t>
      </w:r>
      <w:r>
        <w:rPr>
          <w:rFonts w:hint="eastAsia" w:asciiTheme="majorEastAsia" w:hAnsiTheme="majorEastAsia" w:eastAsiaTheme="majorEastAsia" w:cstheme="majorEastAsia"/>
          <w:b/>
          <w:w w:val="99"/>
          <w:kern w:val="0"/>
          <w:sz w:val="30"/>
          <w:szCs w:val="30"/>
        </w:rPr>
        <w:t>（盖单位法人章）</w:t>
      </w:r>
    </w:p>
    <w:p w14:paraId="05A262EB">
      <w:pPr>
        <w:autoSpaceDE w:val="0"/>
        <w:autoSpaceDN w:val="0"/>
        <w:spacing w:line="700" w:lineRule="exact"/>
        <w:ind w:firstLine="891" w:firstLineChars="300"/>
        <w:rPr>
          <w:rFonts w:asciiTheme="majorEastAsia" w:hAnsiTheme="majorEastAsia" w:eastAsiaTheme="majorEastAsia" w:cstheme="majorEastAsia"/>
          <w:b/>
          <w:spacing w:val="8"/>
          <w:sz w:val="28"/>
          <w:szCs w:val="28"/>
        </w:rPr>
      </w:pPr>
      <w:r>
        <w:rPr>
          <w:rFonts w:hint="eastAsia" w:asciiTheme="majorEastAsia" w:hAnsiTheme="majorEastAsia" w:eastAsiaTheme="majorEastAsia" w:cstheme="majorEastAsia"/>
          <w:b/>
          <w:spacing w:val="8"/>
          <w:sz w:val="28"/>
          <w:szCs w:val="28"/>
        </w:rPr>
        <w:t>代理机构：</w:t>
      </w:r>
      <w:r>
        <w:rPr>
          <w:rFonts w:hint="eastAsia" w:asciiTheme="majorEastAsia" w:hAnsiTheme="majorEastAsia" w:eastAsiaTheme="majorEastAsia" w:cstheme="majorEastAsia"/>
          <w:b/>
          <w:spacing w:val="8"/>
          <w:sz w:val="28"/>
          <w:szCs w:val="28"/>
          <w:u w:val="single"/>
        </w:rPr>
        <w:t>重庆国际投资咨询集团有限公司</w:t>
      </w:r>
      <w:r>
        <w:rPr>
          <w:rFonts w:hint="eastAsia" w:asciiTheme="majorEastAsia" w:hAnsiTheme="majorEastAsia" w:eastAsiaTheme="majorEastAsia" w:cstheme="majorEastAsia"/>
          <w:b/>
          <w:w w:val="99"/>
          <w:kern w:val="0"/>
          <w:sz w:val="30"/>
          <w:szCs w:val="30"/>
        </w:rPr>
        <w:t>（盖单位法人章）</w:t>
      </w:r>
    </w:p>
    <w:p w14:paraId="085DF1C4">
      <w:pPr>
        <w:autoSpaceDE w:val="0"/>
        <w:autoSpaceDN w:val="0"/>
        <w:spacing w:line="800" w:lineRule="exact"/>
        <w:jc w:val="center"/>
        <w:rPr>
          <w:rFonts w:asciiTheme="majorEastAsia" w:hAnsiTheme="majorEastAsia" w:eastAsiaTheme="majorEastAsia" w:cstheme="majorEastAsia"/>
          <w:b/>
          <w:spacing w:val="8"/>
          <w:sz w:val="28"/>
          <w:szCs w:val="28"/>
        </w:rPr>
      </w:pPr>
    </w:p>
    <w:p w14:paraId="31EC11E9">
      <w:pPr>
        <w:autoSpaceDE w:val="0"/>
        <w:autoSpaceDN w:val="0"/>
        <w:spacing w:line="800" w:lineRule="exact"/>
        <w:jc w:val="center"/>
        <w:rPr>
          <w:rFonts w:asciiTheme="majorEastAsia" w:hAnsiTheme="majorEastAsia" w:eastAsiaTheme="majorEastAsia" w:cstheme="majorEastAsia"/>
          <w:b/>
          <w:spacing w:val="8"/>
          <w:sz w:val="28"/>
          <w:szCs w:val="28"/>
        </w:rPr>
        <w:sectPr>
          <w:headerReference r:id="rId4" w:type="first"/>
          <w:footerReference r:id="rId6" w:type="first"/>
          <w:headerReference r:id="rId3" w:type="default"/>
          <w:footerReference r:id="rId5" w:type="even"/>
          <w:pgSz w:w="11906" w:h="16838"/>
          <w:pgMar w:top="1134" w:right="1134" w:bottom="1134" w:left="1134" w:header="567" w:footer="567" w:gutter="0"/>
          <w:pgNumType w:start="0"/>
          <w:cols w:space="720" w:num="1"/>
          <w:docGrid w:linePitch="312" w:charSpace="0"/>
        </w:sectPr>
      </w:pPr>
      <w:r>
        <w:rPr>
          <w:rFonts w:hint="eastAsia" w:asciiTheme="majorEastAsia" w:hAnsiTheme="majorEastAsia" w:eastAsiaTheme="majorEastAsia" w:cstheme="majorEastAsia"/>
          <w:b/>
          <w:spacing w:val="8"/>
          <w:sz w:val="28"/>
          <w:szCs w:val="28"/>
        </w:rPr>
        <w:t>二〇二五年九月</w:t>
      </w:r>
    </w:p>
    <w:p w14:paraId="3079A7BB">
      <w:pPr>
        <w:spacing w:line="800" w:lineRule="exact"/>
        <w:jc w:val="center"/>
        <w:rPr>
          <w:rFonts w:asciiTheme="majorEastAsia" w:hAnsiTheme="majorEastAsia" w:eastAsiaTheme="majorEastAsia" w:cstheme="majorEastAsia"/>
          <w:b/>
          <w:kern w:val="0"/>
          <w:sz w:val="36"/>
          <w:szCs w:val="36"/>
        </w:rPr>
      </w:pPr>
      <w:bookmarkStart w:id="0" w:name="_Toc15421"/>
      <w:bookmarkStart w:id="1" w:name="_Toc25670"/>
      <w:bookmarkStart w:id="2" w:name="_Toc27327"/>
      <w:bookmarkStart w:id="3" w:name="_Toc12430"/>
      <w:bookmarkStart w:id="4" w:name="_Toc22195"/>
      <w:bookmarkStart w:id="5" w:name="_Toc21119"/>
      <w:bookmarkStart w:id="6" w:name="_Toc444155902"/>
      <w:r>
        <w:rPr>
          <w:rFonts w:hint="eastAsia" w:asciiTheme="majorEastAsia" w:hAnsiTheme="majorEastAsia" w:eastAsiaTheme="majorEastAsia" w:cstheme="majorEastAsia"/>
          <w:b/>
          <w:kern w:val="0"/>
          <w:sz w:val="36"/>
          <w:szCs w:val="36"/>
        </w:rPr>
        <w:t>目  录</w:t>
      </w:r>
      <w:bookmarkEnd w:id="0"/>
    </w:p>
    <w:p w14:paraId="5F409C4E">
      <w:pPr>
        <w:pStyle w:val="34"/>
        <w:tabs>
          <w:tab w:val="right" w:leader="dot" w:pos="9628"/>
        </w:tabs>
        <w:spacing w:line="360" w:lineRule="auto"/>
        <w:rPr>
          <w:rFonts w:asciiTheme="minorHAnsi" w:hAnsiTheme="minorHAnsi" w:eastAsiaTheme="minorEastAsia" w:cstheme="minorBidi"/>
          <w:b w:val="0"/>
          <w:caps w:val="0"/>
          <w:sz w:val="21"/>
          <w:szCs w:val="22"/>
        </w:rPr>
      </w:pPr>
      <w:r>
        <w:rPr>
          <w:rFonts w:asciiTheme="majorEastAsia" w:hAnsiTheme="majorEastAsia" w:eastAsiaTheme="majorEastAsia" w:cstheme="majorEastAsia"/>
          <w:bCs/>
          <w:kern w:val="0"/>
          <w:sz w:val="24"/>
          <w:szCs w:val="24"/>
        </w:rPr>
        <w:fldChar w:fldCharType="begin"/>
      </w:r>
      <w:r>
        <w:rPr>
          <w:rFonts w:asciiTheme="majorEastAsia" w:hAnsiTheme="majorEastAsia" w:eastAsiaTheme="majorEastAsia" w:cstheme="majorEastAsia"/>
          <w:bCs/>
          <w:kern w:val="0"/>
          <w:sz w:val="24"/>
          <w:szCs w:val="24"/>
        </w:rPr>
        <w:instrText xml:space="preserve"> TOC \o "1-1" \h \z \u </w:instrText>
      </w:r>
      <w:r>
        <w:rPr>
          <w:rFonts w:asciiTheme="majorEastAsia" w:hAnsiTheme="majorEastAsia" w:eastAsiaTheme="majorEastAsia" w:cstheme="majorEastAsia"/>
          <w:bCs/>
          <w:kern w:val="0"/>
          <w:sz w:val="24"/>
          <w:szCs w:val="24"/>
        </w:rPr>
        <w:fldChar w:fldCharType="separate"/>
      </w:r>
      <w:r>
        <w:fldChar w:fldCharType="begin"/>
      </w:r>
      <w:r>
        <w:instrText xml:space="preserve"> HYPERLINK \l "_Toc202469365" </w:instrText>
      </w:r>
      <w:r>
        <w:fldChar w:fldCharType="separate"/>
      </w:r>
      <w:r>
        <w:rPr>
          <w:rStyle w:val="61"/>
          <w:rFonts w:hint="eastAsia" w:asciiTheme="majorEastAsia" w:hAnsiTheme="majorEastAsia" w:eastAsiaTheme="majorEastAsia" w:cstheme="majorEastAsia"/>
          <w:b w:val="0"/>
          <w:kern w:val="0"/>
        </w:rPr>
        <w:t>第一章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比选公告</w:t>
      </w:r>
      <w:r>
        <w:rPr>
          <w:b w:val="0"/>
        </w:rPr>
        <w:tab/>
      </w:r>
      <w:r>
        <w:rPr>
          <w:b w:val="0"/>
        </w:rPr>
        <w:fldChar w:fldCharType="begin"/>
      </w:r>
      <w:r>
        <w:rPr>
          <w:b w:val="0"/>
        </w:rPr>
        <w:instrText xml:space="preserve"> PAGEREF _Toc202469365 \h </w:instrText>
      </w:r>
      <w:r>
        <w:rPr>
          <w:b w:val="0"/>
        </w:rPr>
        <w:fldChar w:fldCharType="separate"/>
      </w:r>
      <w:r>
        <w:rPr>
          <w:b w:val="0"/>
        </w:rPr>
        <w:t>2</w:t>
      </w:r>
      <w:r>
        <w:rPr>
          <w:b w:val="0"/>
        </w:rPr>
        <w:fldChar w:fldCharType="end"/>
      </w:r>
      <w:r>
        <w:rPr>
          <w:b w:val="0"/>
        </w:rPr>
        <w:fldChar w:fldCharType="end"/>
      </w:r>
    </w:p>
    <w:p w14:paraId="6B3BCEF8">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"_Toc202469366" </w:instrText>
      </w:r>
      <w:r>
        <w:fldChar w:fldCharType="separate"/>
      </w:r>
      <w:r>
        <w:rPr>
          <w:rStyle w:val="61"/>
          <w:rFonts w:hint="eastAsia" w:asciiTheme="majorEastAsia" w:hAnsiTheme="majorEastAsia" w:eastAsiaTheme="majorEastAsia" w:cstheme="majorEastAsia"/>
          <w:b w:val="0"/>
          <w:kern w:val="0"/>
        </w:rPr>
        <w:t>第二章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比选申请人须知</w:t>
      </w:r>
      <w:r>
        <w:rPr>
          <w:b w:val="0"/>
        </w:rPr>
        <w:tab/>
      </w:r>
      <w:r>
        <w:rPr>
          <w:b w:val="0"/>
        </w:rPr>
        <w:fldChar w:fldCharType="begin"/>
      </w:r>
      <w:r>
        <w:rPr>
          <w:b w:val="0"/>
        </w:rPr>
        <w:instrText xml:space="preserve"> PAGEREF _Toc202469366 \h </w:instrText>
      </w:r>
      <w:r>
        <w:rPr>
          <w:b w:val="0"/>
        </w:rPr>
        <w:fldChar w:fldCharType="separate"/>
      </w:r>
      <w:r>
        <w:rPr>
          <w:b w:val="0"/>
        </w:rPr>
        <w:t>6</w:t>
      </w:r>
      <w:r>
        <w:rPr>
          <w:b w:val="0"/>
        </w:rPr>
        <w:fldChar w:fldCharType="end"/>
      </w:r>
      <w:r>
        <w:rPr>
          <w:b w:val="0"/>
        </w:rPr>
        <w:fldChar w:fldCharType="end"/>
      </w:r>
    </w:p>
    <w:p w14:paraId="56E9F5FC">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"_Toc202469367" </w:instrText>
      </w:r>
      <w:r>
        <w:fldChar w:fldCharType="separate"/>
      </w:r>
      <w:r>
        <w:rPr>
          <w:rStyle w:val="61"/>
          <w:rFonts w:hint="eastAsia" w:asciiTheme="majorEastAsia" w:hAnsiTheme="majorEastAsia" w:eastAsiaTheme="majorEastAsia" w:cstheme="majorEastAsia"/>
          <w:b w:val="0"/>
          <w:kern w:val="0"/>
        </w:rPr>
        <w:t>第三章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评审办法（综合评估法）</w:t>
      </w:r>
      <w:r>
        <w:rPr>
          <w:b w:val="0"/>
        </w:rPr>
        <w:tab/>
      </w:r>
      <w:r>
        <w:rPr>
          <w:b w:val="0"/>
        </w:rPr>
        <w:fldChar w:fldCharType="begin"/>
      </w:r>
      <w:r>
        <w:rPr>
          <w:b w:val="0"/>
        </w:rPr>
        <w:instrText xml:space="preserve"> PAGEREF _Toc202469367 \h </w:instrText>
      </w:r>
      <w:r>
        <w:rPr>
          <w:b w:val="0"/>
        </w:rPr>
        <w:fldChar w:fldCharType="separate"/>
      </w:r>
      <w:r>
        <w:rPr>
          <w:b w:val="0"/>
        </w:rPr>
        <w:t>27</w:t>
      </w:r>
      <w:r>
        <w:rPr>
          <w:b w:val="0"/>
        </w:rPr>
        <w:fldChar w:fldCharType="end"/>
      </w:r>
      <w:r>
        <w:rPr>
          <w:b w:val="0"/>
        </w:rPr>
        <w:fldChar w:fldCharType="end"/>
      </w:r>
    </w:p>
    <w:p w14:paraId="1CE4C0B7">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"_Toc202469368" </w:instrText>
      </w:r>
      <w:r>
        <w:fldChar w:fldCharType="separate"/>
      </w:r>
      <w:r>
        <w:rPr>
          <w:rStyle w:val="61"/>
          <w:rFonts w:hint="eastAsia" w:asciiTheme="majorEastAsia" w:hAnsiTheme="majorEastAsia" w:eastAsiaTheme="majorEastAsia" w:cstheme="majorEastAsia"/>
          <w:b w:val="0"/>
          <w:kern w:val="0"/>
        </w:rPr>
        <w:t>第四章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合同条款</w:t>
      </w:r>
      <w:r>
        <w:rPr>
          <w:b w:val="0"/>
        </w:rPr>
        <w:tab/>
      </w:r>
      <w:r>
        <w:rPr>
          <w:b w:val="0"/>
        </w:rPr>
        <w:fldChar w:fldCharType="begin"/>
      </w:r>
      <w:r>
        <w:rPr>
          <w:b w:val="0"/>
        </w:rPr>
        <w:instrText xml:space="preserve"> PAGEREF _Toc202469368 \h </w:instrText>
      </w:r>
      <w:r>
        <w:rPr>
          <w:b w:val="0"/>
        </w:rPr>
        <w:fldChar w:fldCharType="separate"/>
      </w:r>
      <w:r>
        <w:rPr>
          <w:b w:val="0"/>
        </w:rPr>
        <w:t>37</w:t>
      </w:r>
      <w:r>
        <w:rPr>
          <w:b w:val="0"/>
        </w:rPr>
        <w:fldChar w:fldCharType="end"/>
      </w:r>
      <w:r>
        <w:rPr>
          <w:b w:val="0"/>
        </w:rPr>
        <w:fldChar w:fldCharType="end"/>
      </w:r>
    </w:p>
    <w:p w14:paraId="3ECF75F7">
      <w:pPr>
        <w:pStyle w:val="34"/>
        <w:tabs>
          <w:tab w:val="left" w:pos="1680"/>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"_Toc202469369" </w:instrText>
      </w:r>
      <w:r>
        <w:fldChar w:fldCharType="separate"/>
      </w:r>
      <w:r>
        <w:rPr>
          <w:rStyle w:val="61"/>
          <w:rFonts w:hint="eastAsia" w:asciiTheme="majorEastAsia" w:hAnsiTheme="majorEastAsia" w:eastAsiaTheme="majorEastAsia" w:cstheme="majorEastAsia"/>
          <w:b w:val="0"/>
          <w:kern w:val="0"/>
        </w:rPr>
        <w:t>第五章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图</w:t>
      </w:r>
      <w:r>
        <w:rPr>
          <w:rFonts w:asciiTheme="minorHAnsi" w:hAnsiTheme="minorHAnsi" w:eastAsiaTheme="minorEastAsia" w:cstheme="minorBidi"/>
          <w:b w:val="0"/>
          <w:caps w:val="0"/>
          <w:sz w:val="21"/>
          <w:szCs w:val="22"/>
        </w:rPr>
        <w:tab/>
      </w:r>
      <w:r>
        <w:rPr>
          <w:rStyle w:val="61"/>
          <w:rFonts w:hint="eastAsia" w:asciiTheme="majorEastAsia" w:hAnsiTheme="majorEastAsia" w:eastAsiaTheme="majorEastAsia" w:cstheme="majorEastAsia"/>
          <w:b w:val="0"/>
          <w:kern w:val="0"/>
        </w:rPr>
        <w:t>纸</w:t>
      </w:r>
      <w:r>
        <w:rPr>
          <w:b w:val="0"/>
        </w:rPr>
        <w:tab/>
      </w:r>
      <w:r>
        <w:rPr>
          <w:b w:val="0"/>
        </w:rPr>
        <w:fldChar w:fldCharType="begin"/>
      </w:r>
      <w:r>
        <w:rPr>
          <w:b w:val="0"/>
        </w:rPr>
        <w:instrText xml:space="preserve"> PAGEREF _Toc202469369 \h </w:instrText>
      </w:r>
      <w:r>
        <w:rPr>
          <w:b w:val="0"/>
        </w:rPr>
        <w:fldChar w:fldCharType="separate"/>
      </w:r>
      <w:r>
        <w:rPr>
          <w:b w:val="0"/>
        </w:rPr>
        <w:t>52</w:t>
      </w:r>
      <w:r>
        <w:rPr>
          <w:b w:val="0"/>
        </w:rPr>
        <w:fldChar w:fldCharType="end"/>
      </w:r>
      <w:r>
        <w:rPr>
          <w:b w:val="0"/>
        </w:rPr>
        <w:fldChar w:fldCharType="end"/>
      </w:r>
    </w:p>
    <w:p w14:paraId="77F4130B">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"_Toc202469370" </w:instrText>
      </w:r>
      <w:r>
        <w:fldChar w:fldCharType="separate"/>
      </w:r>
      <w:r>
        <w:rPr>
          <w:rStyle w:val="61"/>
          <w:rFonts w:hint="eastAsia" w:asciiTheme="majorEastAsia" w:hAnsiTheme="majorEastAsia" w:eastAsiaTheme="majorEastAsia" w:cstheme="majorEastAsia"/>
          <w:b w:val="0"/>
          <w:kern w:val="0"/>
        </w:rPr>
        <w:t>第六章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技术标准和要求</w:t>
      </w:r>
      <w:r>
        <w:rPr>
          <w:b w:val="0"/>
        </w:rPr>
        <w:tab/>
      </w:r>
      <w:r>
        <w:rPr>
          <w:b w:val="0"/>
        </w:rPr>
        <w:fldChar w:fldCharType="begin"/>
      </w:r>
      <w:r>
        <w:rPr>
          <w:b w:val="0"/>
        </w:rPr>
        <w:instrText xml:space="preserve"> PAGEREF _Toc202469370 \h </w:instrText>
      </w:r>
      <w:r>
        <w:rPr>
          <w:b w:val="0"/>
        </w:rPr>
        <w:fldChar w:fldCharType="separate"/>
      </w:r>
      <w:r>
        <w:rPr>
          <w:b w:val="0"/>
        </w:rPr>
        <w:t>53</w:t>
      </w:r>
      <w:r>
        <w:rPr>
          <w:b w:val="0"/>
        </w:rPr>
        <w:fldChar w:fldCharType="end"/>
      </w:r>
      <w:r>
        <w:rPr>
          <w:b w:val="0"/>
        </w:rPr>
        <w:fldChar w:fldCharType="end"/>
      </w:r>
    </w:p>
    <w:p w14:paraId="5803D77A">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"_Toc202469371" </w:instrText>
      </w:r>
      <w:r>
        <w:fldChar w:fldCharType="separate"/>
      </w:r>
      <w:r>
        <w:rPr>
          <w:rStyle w:val="61"/>
          <w:rFonts w:hint="eastAsia" w:asciiTheme="majorEastAsia" w:hAnsiTheme="majorEastAsia" w:eastAsiaTheme="majorEastAsia" w:cstheme="majorEastAsia"/>
          <w:b w:val="0"/>
          <w:kern w:val="0"/>
        </w:rPr>
        <w:t>第七章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比选申请文件格式</w:t>
      </w:r>
      <w:r>
        <w:rPr>
          <w:b w:val="0"/>
        </w:rPr>
        <w:tab/>
      </w:r>
      <w:r>
        <w:rPr>
          <w:b w:val="0"/>
        </w:rPr>
        <w:fldChar w:fldCharType="begin"/>
      </w:r>
      <w:r>
        <w:rPr>
          <w:b w:val="0"/>
        </w:rPr>
        <w:instrText xml:space="preserve"> PAGEREF _Toc202469371 \h </w:instrText>
      </w:r>
      <w:r>
        <w:rPr>
          <w:b w:val="0"/>
        </w:rPr>
        <w:fldChar w:fldCharType="separate"/>
      </w:r>
      <w:r>
        <w:rPr>
          <w:b w:val="0"/>
        </w:rPr>
        <w:t>58</w:t>
      </w:r>
      <w:r>
        <w:rPr>
          <w:b w:val="0"/>
        </w:rPr>
        <w:fldChar w:fldCharType="end"/>
      </w:r>
      <w:r>
        <w:rPr>
          <w:b w:val="0"/>
        </w:rPr>
        <w:fldChar w:fldCharType="end"/>
      </w:r>
    </w:p>
    <w:p w14:paraId="3FA00022">
      <w:pPr>
        <w:pStyle w:val="40"/>
        <w:tabs>
          <w:tab w:val="right" w:leader="dot" w:pos="9638"/>
          <w:tab w:val="clear" w:pos="8609"/>
        </w:tabs>
        <w:adjustRightInd w:val="0"/>
        <w:snapToGrid w:val="0"/>
        <w:spacing w:line="800" w:lineRule="exact"/>
        <w:ind w:left="0"/>
        <w:jc w:val="both"/>
        <w:rPr>
          <w:rFonts w:asciiTheme="majorEastAsia" w:hAnsiTheme="majorEastAsia" w:eastAsiaTheme="majorEastAsia" w:cstheme="majorEastAsia"/>
          <w:bCs/>
          <w:kern w:val="0"/>
          <w:sz w:val="24"/>
          <w:szCs w:val="24"/>
        </w:rPr>
      </w:pPr>
      <w:r>
        <w:rPr>
          <w:rFonts w:asciiTheme="majorEastAsia" w:hAnsiTheme="majorEastAsia" w:eastAsiaTheme="majorEastAsia" w:cstheme="majorEastAsia"/>
          <w:bCs/>
          <w:kern w:val="0"/>
          <w:sz w:val="24"/>
          <w:szCs w:val="24"/>
        </w:rPr>
        <w:fldChar w:fldCharType="end"/>
      </w:r>
    </w:p>
    <w:p w14:paraId="5225633B">
      <w:pPr>
        <w:pStyle w:val="2"/>
        <w:numPr>
          <w:ilvl w:val="0"/>
          <w:numId w:val="0"/>
        </w:numPr>
        <w:spacing w:after="240" w:afterLines="100" w:line="500" w:lineRule="exact"/>
        <w:rPr>
          <w:rFonts w:asciiTheme="majorEastAsia" w:hAnsiTheme="majorEastAsia" w:eastAsiaTheme="majorEastAsia" w:cstheme="majorEastAsia"/>
          <w:b/>
          <w:kern w:val="0"/>
        </w:rPr>
      </w:pPr>
      <w:r>
        <w:rPr>
          <w:rFonts w:hint="eastAsia" w:asciiTheme="majorEastAsia" w:hAnsiTheme="majorEastAsia" w:eastAsiaTheme="majorEastAsia" w:cstheme="majorEastAsia"/>
          <w:b/>
          <w:kern w:val="0"/>
          <w:sz w:val="36"/>
          <w:szCs w:val="36"/>
        </w:rPr>
        <w:br w:type="page"/>
      </w:r>
      <w:bookmarkStart w:id="7" w:name="_Toc202469365"/>
      <w:r>
        <w:rPr>
          <w:rFonts w:hint="eastAsia" w:asciiTheme="majorEastAsia" w:hAnsiTheme="majorEastAsia" w:eastAsiaTheme="majorEastAsia" w:cstheme="majorEastAsia"/>
          <w:b/>
          <w:kern w:val="0"/>
          <w:sz w:val="36"/>
          <w:szCs w:val="36"/>
        </w:rPr>
        <w:t>第一章 比选公告</w:t>
      </w:r>
      <w:bookmarkEnd w:id="7"/>
    </w:p>
    <w:p w14:paraId="20D8C665">
      <w:pPr>
        <w:tabs>
          <w:tab w:val="left" w:pos="1418"/>
        </w:tabs>
        <w:autoSpaceDE w:val="0"/>
        <w:autoSpaceDN w:val="0"/>
        <w:adjustRightInd w:val="0"/>
        <w:snapToGrid w:val="0"/>
        <w:spacing w:after="240" w:afterLines="100" w:line="500" w:lineRule="exact"/>
        <w:jc w:val="center"/>
        <w:rPr>
          <w:rFonts w:asciiTheme="majorEastAsia" w:hAnsiTheme="majorEastAsia" w:eastAsiaTheme="majorEastAsia" w:cstheme="majorEastAsia"/>
        </w:rPr>
      </w:pPr>
      <w:r>
        <w:rPr>
          <w:rFonts w:asciiTheme="majorEastAsia" w:hAnsiTheme="majorEastAsia" w:eastAsiaTheme="majorEastAsia" w:cstheme="majorEastAsia"/>
          <w:b/>
          <w:snapToGrid w:val="0"/>
          <w:spacing w:val="-4"/>
          <w:w w:val="99"/>
          <w:sz w:val="28"/>
          <w:szCs w:val="28"/>
        </w:rPr>
        <w:t>城南家园电梯维修包干服务</w:t>
      </w:r>
      <w:r>
        <w:rPr>
          <w:rFonts w:hint="eastAsia" w:asciiTheme="majorEastAsia" w:hAnsiTheme="majorEastAsia" w:eastAsiaTheme="majorEastAsia" w:cstheme="majorEastAsia"/>
          <w:b/>
          <w:snapToGrid w:val="0"/>
          <w:w w:val="99"/>
          <w:kern w:val="0"/>
          <w:sz w:val="28"/>
          <w:szCs w:val="28"/>
        </w:rPr>
        <w:t>比选公告</w:t>
      </w:r>
    </w:p>
    <w:p w14:paraId="4F82F67E">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8" w:name="_Toc16223"/>
      <w:r>
        <w:rPr>
          <w:rFonts w:hint="eastAsia" w:asciiTheme="majorEastAsia" w:hAnsiTheme="majorEastAsia" w:eastAsiaTheme="majorEastAsia" w:cstheme="majorEastAsia"/>
          <w:bCs/>
          <w:spacing w:val="0"/>
          <w:w w:val="100"/>
          <w:kern w:val="0"/>
          <w:sz w:val="21"/>
          <w:szCs w:val="21"/>
        </w:rPr>
        <w:t>1.比选条件</w:t>
      </w:r>
      <w:bookmarkEnd w:id="8"/>
    </w:p>
    <w:p w14:paraId="22C5C2B7">
      <w:pPr>
        <w:widowControl/>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本比选项目</w:t>
      </w:r>
      <w:r>
        <w:rPr>
          <w:rFonts w:hint="eastAsia" w:asciiTheme="majorEastAsia" w:hAnsiTheme="majorEastAsia" w:eastAsiaTheme="majorEastAsia" w:cstheme="majorEastAsia"/>
          <w:snapToGrid w:val="0"/>
          <w:kern w:val="0"/>
          <w:szCs w:val="21"/>
          <w:u w:val="single"/>
        </w:rPr>
        <w:t>城南家园电梯维修包干服务</w:t>
      </w:r>
      <w:r>
        <w:rPr>
          <w:rFonts w:hint="eastAsia" w:asciiTheme="majorEastAsia" w:hAnsiTheme="majorEastAsia" w:eastAsiaTheme="majorEastAsia" w:cstheme="majorEastAsia"/>
          <w:snapToGrid w:val="0"/>
          <w:kern w:val="0"/>
          <w:szCs w:val="21"/>
        </w:rPr>
        <w:t>已获批实施，项目业主为</w:t>
      </w:r>
      <w:r>
        <w:rPr>
          <w:rFonts w:hint="eastAsia" w:asciiTheme="majorEastAsia" w:hAnsiTheme="majorEastAsia" w:eastAsiaTheme="majorEastAsia" w:cstheme="majorEastAsia"/>
          <w:snapToGrid w:val="0"/>
          <w:kern w:val="0"/>
          <w:szCs w:val="21"/>
          <w:u w:val="single"/>
        </w:rPr>
        <w:t>重庆渝开发物业管理有限公司</w:t>
      </w:r>
      <w:r>
        <w:rPr>
          <w:rFonts w:hint="eastAsia" w:asciiTheme="majorEastAsia" w:hAnsiTheme="majorEastAsia" w:eastAsiaTheme="majorEastAsia" w:cstheme="majorEastAsia"/>
          <w:snapToGrid w:val="0"/>
          <w:kern w:val="0"/>
          <w:szCs w:val="21"/>
        </w:rPr>
        <w:t>，项目资金为</w:t>
      </w:r>
      <w:r>
        <w:rPr>
          <w:rFonts w:hint="eastAsia" w:asciiTheme="majorEastAsia" w:hAnsiTheme="majorEastAsia" w:eastAsiaTheme="majorEastAsia" w:cstheme="majorEastAsia"/>
          <w:snapToGrid w:val="0"/>
          <w:kern w:val="0"/>
          <w:szCs w:val="21"/>
          <w:u w:val="single"/>
        </w:rPr>
        <w:t>企业自筹</w:t>
      </w:r>
      <w:r>
        <w:rPr>
          <w:rFonts w:hint="eastAsia" w:asciiTheme="majorEastAsia" w:hAnsiTheme="majorEastAsia" w:eastAsiaTheme="majorEastAsia" w:cstheme="majorEastAsia"/>
          <w:snapToGrid w:val="0"/>
          <w:kern w:val="0"/>
          <w:szCs w:val="21"/>
        </w:rPr>
        <w:t>，项目出资比例为</w:t>
      </w:r>
      <w:r>
        <w:rPr>
          <w:rFonts w:hint="eastAsia" w:asciiTheme="majorEastAsia" w:hAnsiTheme="majorEastAsia" w:eastAsiaTheme="majorEastAsia" w:cstheme="majorEastAsia"/>
          <w:snapToGrid w:val="0"/>
          <w:kern w:val="0"/>
          <w:szCs w:val="21"/>
          <w:u w:val="single"/>
        </w:rPr>
        <w:t>100%</w:t>
      </w:r>
      <w:r>
        <w:rPr>
          <w:rFonts w:hint="eastAsia" w:asciiTheme="majorEastAsia" w:hAnsiTheme="majorEastAsia" w:eastAsiaTheme="majorEastAsia" w:cstheme="majorEastAsia"/>
          <w:snapToGrid w:val="0"/>
          <w:kern w:val="0"/>
          <w:szCs w:val="21"/>
        </w:rPr>
        <w:t>，比选人为</w:t>
      </w:r>
      <w:r>
        <w:rPr>
          <w:rFonts w:hint="eastAsia" w:asciiTheme="majorEastAsia" w:hAnsiTheme="majorEastAsia" w:eastAsiaTheme="majorEastAsia" w:cstheme="majorEastAsia"/>
          <w:snapToGrid w:val="0"/>
          <w:kern w:val="0"/>
          <w:szCs w:val="21"/>
          <w:u w:val="single"/>
        </w:rPr>
        <w:t>重庆渝开发物业管理有限公司</w:t>
      </w:r>
      <w:r>
        <w:rPr>
          <w:rFonts w:hint="eastAsia" w:asciiTheme="majorEastAsia" w:hAnsiTheme="majorEastAsia" w:eastAsiaTheme="majorEastAsia" w:cstheme="majorEastAsia"/>
          <w:snapToGrid w:val="0"/>
          <w:kern w:val="0"/>
          <w:szCs w:val="21"/>
        </w:rPr>
        <w:t>。项目已具备比选条件，现对该项目进行公开比选。</w:t>
      </w:r>
    </w:p>
    <w:p w14:paraId="482F28B1">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9" w:name="_Toc24523"/>
      <w:r>
        <w:rPr>
          <w:rFonts w:hint="eastAsia" w:asciiTheme="majorEastAsia" w:hAnsiTheme="majorEastAsia" w:eastAsiaTheme="majorEastAsia" w:cstheme="majorEastAsia"/>
          <w:bCs/>
          <w:spacing w:val="0"/>
          <w:w w:val="100"/>
          <w:kern w:val="0"/>
          <w:sz w:val="21"/>
          <w:szCs w:val="21"/>
        </w:rPr>
        <w:t>2.项目概况与比选范围</w:t>
      </w:r>
      <w:bookmarkEnd w:id="9"/>
    </w:p>
    <w:p w14:paraId="4EC46F57">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color w:val="000000" w:themeColor="text1"/>
          <w:kern w:val="0"/>
          <w:szCs w:val="21"/>
          <w14:textFill>
            <w14:solidFill>
              <w14:schemeClr w14:val="tx1"/>
            </w14:solidFill>
          </w14:textFill>
        </w:rPr>
      </w:pPr>
      <w:r>
        <w:rPr>
          <w:rFonts w:hint="eastAsia" w:asciiTheme="majorEastAsia" w:hAnsiTheme="majorEastAsia" w:eastAsiaTheme="majorEastAsia" w:cstheme="majorEastAsia"/>
          <w:snapToGrid w:val="0"/>
          <w:kern w:val="0"/>
          <w:szCs w:val="21"/>
        </w:rPr>
        <w:t>2.1服务地点：重庆市</w:t>
      </w:r>
      <w:r>
        <w:fldChar w:fldCharType="begin"/>
      </w:r>
      <w:r>
        <w:instrText xml:space="preserve"> HYPERLINK "https://baike.baidu.com/item/%E5%8D%97%E5%B2%B8%E5%8C%BA/2531300?fromModule=lemma_inlink" \t "_blank" </w:instrText>
      </w:r>
      <w:r>
        <w:fldChar w:fldCharType="separate"/>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t>南岸区</w:t>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fldChar w:fldCharType="end"/>
      </w:r>
      <w:r>
        <w:rPr>
          <w:rFonts w:asciiTheme="majorEastAsia" w:hAnsiTheme="majorEastAsia" w:eastAsiaTheme="majorEastAsia" w:cstheme="majorEastAsia"/>
          <w:snapToGrid w:val="0"/>
          <w:color w:val="000000" w:themeColor="text1"/>
          <w:kern w:val="0"/>
          <w:szCs w:val="21"/>
          <w14:textFill>
            <w14:solidFill>
              <w14:schemeClr w14:val="tx1"/>
            </w14:solidFill>
          </w14:textFill>
        </w:rPr>
        <w:t>茶园新城</w:t>
      </w:r>
      <w:r>
        <w:fldChar w:fldCharType="begin"/>
      </w:r>
      <w:r>
        <w:instrText xml:space="preserve"> HYPERLINK "https://baike.baidu.com/item/%E5%A4%A9%E6%96%87%E8%A1%97%E9%81%93/18866573?fromModule=lemma_inlink" \t "_blank" </w:instrText>
      </w:r>
      <w:r>
        <w:fldChar w:fldCharType="separate"/>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t>天文街道</w:t>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fldChar w:fldCharType="end"/>
      </w:r>
      <w:r>
        <w:rPr>
          <w:rFonts w:asciiTheme="majorEastAsia" w:hAnsiTheme="majorEastAsia" w:eastAsiaTheme="majorEastAsia" w:cstheme="majorEastAsia"/>
          <w:snapToGrid w:val="0"/>
          <w:color w:val="000000" w:themeColor="text1"/>
          <w:kern w:val="0"/>
          <w:szCs w:val="21"/>
          <w14:textFill>
            <w14:solidFill>
              <w14:schemeClr w14:val="tx1"/>
            </w14:solidFill>
          </w14:textFill>
        </w:rPr>
        <w:t>。</w:t>
      </w:r>
    </w:p>
    <w:p w14:paraId="2B016B1A">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2.2项目概况：</w:t>
      </w:r>
      <w:r>
        <w:rPr>
          <w:rFonts w:asciiTheme="majorEastAsia" w:hAnsiTheme="majorEastAsia" w:eastAsiaTheme="majorEastAsia" w:cstheme="majorEastAsia"/>
          <w:snapToGrid w:val="0"/>
          <w:kern w:val="0"/>
          <w:szCs w:val="21"/>
        </w:rPr>
        <w:t>城南家园公租房位于南岸区茶园新城天文街道，是重庆市最大的公租房建设项目，于2010年9月开工建设，2012年8月陆续竣工投用，项目占地约723亩，为24-32层的高层电梯房小区，设8个组团，共85幢，建筑面积约199万平方米，约3.2万套住宅，现小区1-6组团有180台住宅电梯需要委托开展包干维修工作。</w:t>
      </w:r>
    </w:p>
    <w:p w14:paraId="1F4E9E50">
      <w:pPr>
        <w:tabs>
          <w:tab w:val="left" w:pos="3045"/>
          <w:tab w:val="left" w:pos="8310"/>
        </w:tabs>
        <w:autoSpaceDE w:val="0"/>
        <w:autoSpaceDN w:val="0"/>
        <w:adjustRightInd w:val="0"/>
        <w:snapToGrid w:val="0"/>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注：各比选申请单位需自行踏勘现场，了解服务范围及内容，并将其充分考虑在报价中。</w:t>
      </w:r>
    </w:p>
    <w:p w14:paraId="58762EA5">
      <w:pPr>
        <w:tabs>
          <w:tab w:val="left" w:pos="747"/>
        </w:tabs>
        <w:spacing w:line="400" w:lineRule="exact"/>
        <w:ind w:firstLine="420" w:firstLineChars="200"/>
        <w:rPr>
          <w:rFonts w:asciiTheme="majorEastAsia" w:hAnsiTheme="majorEastAsia" w:eastAsiaTheme="majorEastAsia" w:cstheme="majorEastAsia"/>
          <w:snapToGrid w:val="0"/>
          <w:color w:val="000000" w:themeColor="text1"/>
          <w:kern w:val="0"/>
          <w:szCs w:val="21"/>
          <w14:textFill>
            <w14:solidFill>
              <w14:schemeClr w14:val="tx1"/>
            </w14:solidFill>
          </w14:textFill>
        </w:rPr>
      </w:pPr>
      <w:r>
        <w:rPr>
          <w:rFonts w:hint="eastAsia" w:asciiTheme="majorEastAsia" w:hAnsiTheme="majorEastAsia" w:eastAsiaTheme="majorEastAsia" w:cstheme="majorEastAsia"/>
          <w:szCs w:val="21"/>
        </w:rPr>
        <w:t>2.3本次比选项目合同估算金额：</w:t>
      </w:r>
      <w:r>
        <w:rPr>
          <w:rFonts w:hint="eastAsia" w:asciiTheme="majorEastAsia" w:hAnsiTheme="majorEastAsia" w:eastAsiaTheme="majorEastAsia" w:cstheme="majorEastAsia"/>
          <w:bCs/>
          <w:szCs w:val="21"/>
          <w:u w:val="single"/>
        </w:rPr>
        <w:t>3564000.00</w:t>
      </w:r>
      <w:r>
        <w:rPr>
          <w:rFonts w:hint="eastAsia" w:asciiTheme="majorEastAsia" w:hAnsiTheme="majorEastAsia" w:eastAsiaTheme="majorEastAsia" w:cstheme="majorEastAsia"/>
          <w:szCs w:val="21"/>
        </w:rPr>
        <w:t>元。</w:t>
      </w:r>
    </w:p>
    <w:p w14:paraId="6201C8A6">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2.4比选范围：</w:t>
      </w:r>
      <w:r>
        <w:rPr>
          <w:rFonts w:asciiTheme="majorEastAsia" w:hAnsiTheme="majorEastAsia" w:eastAsiaTheme="majorEastAsia" w:cstheme="majorEastAsia"/>
          <w:szCs w:val="21"/>
        </w:rPr>
        <w:t>采购一家有电梯维修维保资质的单位负责对城南家园住宅部分电梯进行</w:t>
      </w:r>
      <w:r>
        <w:rPr>
          <w:rFonts w:hint="eastAsia" w:asciiTheme="majorEastAsia" w:hAnsiTheme="majorEastAsia" w:eastAsiaTheme="majorEastAsia" w:cstheme="majorEastAsia"/>
          <w:szCs w:val="21"/>
        </w:rPr>
        <w:t>维修包干服务</w:t>
      </w:r>
      <w:r>
        <w:rPr>
          <w:rFonts w:asciiTheme="majorEastAsia" w:hAnsiTheme="majorEastAsia" w:eastAsiaTheme="majorEastAsia" w:cstheme="majorEastAsia"/>
          <w:szCs w:val="21"/>
        </w:rPr>
        <w:t>。承担电梯正常运行发生故障或损坏（因不可抗力或自然灾害等原因造成电梯故障或损坏，为非正常故障或损坏，其余情况均为电梯正常运行发生的故障或损坏）后，所需维修或更换的零配件材料费、运输费、人工费等所有费用，并完成维修服务。</w:t>
      </w:r>
    </w:p>
    <w:p w14:paraId="6D985D2D">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电梯包干维修即比选人提供定额维修包干费用，比选申请人按照《电梯施工类别划分表（修订版）》国质检特〔2019〕64号规定，负责提供除安装和改造以外的所有电梯修理劳务服务，包含材料、人工、运输等所有费用，同时比选申请人负责按照本项目比选文件要求，服务期内每年为维修范围内的电梯购买公众责任险保险。若服务期内，国家对电梯施工类别划分有新的修订和调整的，按照最新的标准和规定执行。</w:t>
      </w:r>
    </w:p>
    <w:p w14:paraId="7234CAE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各比选申请人在比选申请截止时间前可自行与小区物业管理公司对接，对标的物进行现场查看，知晓标的物工况。无论比选申请人是否查看标的物，均视为比选申请人对标的物工况完全了解。</w:t>
      </w:r>
    </w:p>
    <w:p w14:paraId="7F952209">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1）包干维修包括的主要内容（不仅限于以下内容）：</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8504"/>
      </w:tblGrid>
      <w:tr w14:paraId="7B15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85" w:type="pct"/>
            <w:vAlign w:val="center"/>
          </w:tcPr>
          <w:p w14:paraId="7CF7E8FF">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位置</w:t>
            </w:r>
          </w:p>
        </w:tc>
        <w:tc>
          <w:tcPr>
            <w:tcW w:w="4315" w:type="pct"/>
            <w:vAlign w:val="center"/>
          </w:tcPr>
          <w:p w14:paraId="5A01A3D1">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包干维修主要零部件</w:t>
            </w:r>
          </w:p>
        </w:tc>
      </w:tr>
      <w:tr w14:paraId="4E9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85" w:type="pct"/>
            <w:vAlign w:val="center"/>
          </w:tcPr>
          <w:p w14:paraId="0A3D36F6">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机房</w:t>
            </w:r>
          </w:p>
        </w:tc>
        <w:tc>
          <w:tcPr>
            <w:tcW w:w="4315" w:type="pct"/>
            <w:vAlign w:val="center"/>
          </w:tcPr>
          <w:p w14:paraId="40FE06CD">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曳引机及组件、旋转编码器、控制柜及元器件、承重梁、导向轮、电源开关箱、限速器、急停开关、绳头组合、绳头板、轿厢上行超速保护装置等。 </w:t>
            </w:r>
          </w:p>
        </w:tc>
      </w:tr>
      <w:tr w14:paraId="1C2A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85" w:type="pct"/>
            <w:vAlign w:val="center"/>
          </w:tcPr>
          <w:p w14:paraId="2C32D663">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井道</w:t>
            </w:r>
          </w:p>
        </w:tc>
        <w:tc>
          <w:tcPr>
            <w:tcW w:w="4315" w:type="pct"/>
            <w:vAlign w:val="center"/>
          </w:tcPr>
          <w:p w14:paraId="1C1AA178">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导轨、对重导轨、导轨支架、接导板、线槽、对重装置、曳引钢丝绳、限速器钢丝绳、换速、平层感应装置、限速器钢丝绳涨紧装置、随行电缆、电缆支架、缓冲器、补偿装置、轿厢、中间接线盒、底坑检修箱、安全保护装置等。</w:t>
            </w:r>
          </w:p>
        </w:tc>
      </w:tr>
      <w:tr w14:paraId="4C56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5" w:type="pct"/>
            <w:vAlign w:val="center"/>
          </w:tcPr>
          <w:p w14:paraId="22EA35A5">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w:t>
            </w:r>
          </w:p>
        </w:tc>
        <w:tc>
          <w:tcPr>
            <w:tcW w:w="4315" w:type="pct"/>
            <w:vAlign w:val="center"/>
          </w:tcPr>
          <w:p w14:paraId="67D922CE">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顶轮、轿架、轿底、轿壁、轿顶、轿门、门机、轿厢内地板、防夹保护装置、操纵箱、轿顶检修箱、照明装置、平层感应器、护脚板、导靴、安全钳、配重块、导轨润滑油杯、急停开关、安全窗、超载保护装置、紧急报警装置等。</w:t>
            </w:r>
          </w:p>
        </w:tc>
      </w:tr>
      <w:tr w14:paraId="32E9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85" w:type="pct"/>
            <w:vAlign w:val="center"/>
          </w:tcPr>
          <w:p w14:paraId="7FF2266D">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层站</w:t>
            </w:r>
          </w:p>
        </w:tc>
        <w:tc>
          <w:tcPr>
            <w:tcW w:w="4315" w:type="pct"/>
            <w:vAlign w:val="center"/>
          </w:tcPr>
          <w:p w14:paraId="0F1CF47E">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层楼显示器、层门装置、手动钥匙开关、层门、门锁、门套、层、轿门地坎、呼梯装置等。</w:t>
            </w:r>
          </w:p>
        </w:tc>
      </w:tr>
    </w:tbl>
    <w:p w14:paraId="10691073">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2）不属于公租房电梯包干维修内容</w:t>
      </w:r>
    </w:p>
    <w:p w14:paraId="38D23BE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①非电梯本身的零部件及设备损坏，即业主提供的主电源开关，断路器，井道的土建结构，机房通风设备，用于地坑的抽水设备等。</w:t>
      </w:r>
    </w:p>
    <w:p w14:paraId="6980FFF3">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②自然灾害、不可抗力等其他原因造成的设备的损坏。</w:t>
      </w:r>
    </w:p>
    <w:p w14:paraId="4880A80E">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③因零部件老化或使用年限太长，维修和改造无法恢复使用需要整体更新的电梯。</w:t>
      </w:r>
    </w:p>
    <w:p w14:paraId="21533817">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④《电梯施工类别划分表（修订版）》国质检特〔2019〕64号规定的安装和改造内容。（若国家对电梯施工类别划分有新的修订和调整的，按照最新规定的安装和改造内容执行）。详见下表：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8388"/>
      </w:tblGrid>
      <w:tr w14:paraId="50E2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tcBorders>
              <w:top w:val="single" w:color="auto" w:sz="4" w:space="0"/>
              <w:left w:val="single" w:color="auto" w:sz="4" w:space="0"/>
              <w:bottom w:val="single" w:color="auto" w:sz="4" w:space="0"/>
              <w:right w:val="single" w:color="auto" w:sz="4" w:space="0"/>
            </w:tcBorders>
            <w:vAlign w:val="center"/>
          </w:tcPr>
          <w:p w14:paraId="0A3E91BF">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安装</w:t>
            </w:r>
          </w:p>
        </w:tc>
        <w:tc>
          <w:tcPr>
            <w:tcW w:w="4256" w:type="pct"/>
            <w:tcBorders>
              <w:top w:val="single" w:color="auto" w:sz="4" w:space="0"/>
              <w:left w:val="single" w:color="auto" w:sz="4" w:space="0"/>
              <w:bottom w:val="single" w:color="auto" w:sz="4" w:space="0"/>
              <w:right w:val="single" w:color="auto" w:sz="4" w:space="0"/>
            </w:tcBorders>
            <w:vAlign w:val="center"/>
          </w:tcPr>
          <w:p w14:paraId="2EA2B86C">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采用组装、固定、调试等一系列作业方法，将电梯部件组合为具有使用价值的电梯整机的活动；包括移装。</w:t>
            </w:r>
          </w:p>
        </w:tc>
      </w:tr>
      <w:tr w14:paraId="3234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vAlign w:val="center"/>
          </w:tcPr>
          <w:p w14:paraId="0B5F1DA6">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改造</w:t>
            </w:r>
          </w:p>
        </w:tc>
        <w:tc>
          <w:tcPr>
            <w:tcW w:w="4256" w:type="pct"/>
            <w:vAlign w:val="center"/>
          </w:tcPr>
          <w:p w14:paraId="5FDB5DB2">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改变电梯的额定（名义）速度、额定载重量、提升高度、轿厢自重（制造单位明确的预留装饰重量或累计增加/减少质量不超过额定载重量的5%除外）、防爆等级、驱动方式、悬挂方式、调速方式或控制方式。（注1）</w:t>
            </w:r>
          </w:p>
          <w:p w14:paraId="4818E1BE">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b.改变轿门的类型、增加或减少轿门。</w:t>
            </w:r>
          </w:p>
          <w:p w14:paraId="7EC22F34">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c.改变轿架受力结构、更换轿架或更换无轿架式轿厢。</w:t>
            </w:r>
          </w:p>
          <w:p w14:paraId="29ABAF73">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注：</w:t>
            </w:r>
          </w:p>
          <w:p w14:paraId="545FAB00">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改变电梯的调速方式是指：如将乘客或载货电梯的交流变极调速系统改变为交流变频变压调速系统；或者改变自动扶梯与自动人行道的调速系统，使其由连续运行型改变为间歇运行型等。</w:t>
            </w:r>
          </w:p>
          <w:p w14:paraId="1F327C35">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控制方式是指：为响应来自操作装置的信号而对电梯的启动、停止和运行方向进行控制的方式，例如：按钮控制、信号控制以及集选控制（含单台集选控制、两台并联控制和多台群组控制）等。</w:t>
            </w:r>
          </w:p>
        </w:tc>
      </w:tr>
    </w:tbl>
    <w:p w14:paraId="5A0B57D2">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（2）根据重庆市公租局</w:t>
      </w:r>
      <w:r>
        <w:rPr>
          <w:rFonts w:asciiTheme="majorEastAsia" w:hAnsiTheme="majorEastAsia" w:eastAsiaTheme="majorEastAsia" w:cstheme="majorEastAsia"/>
          <w:bCs/>
          <w:szCs w:val="21"/>
        </w:rPr>
        <w:t>《关于进一步明确市级公租房小区电梯日常保养和</w:t>
      </w:r>
      <w:r>
        <w:rPr>
          <w:rFonts w:hint="eastAsia" w:asciiTheme="majorEastAsia" w:hAnsiTheme="majorEastAsia" w:eastAsiaTheme="majorEastAsia" w:cstheme="majorEastAsia"/>
          <w:bCs/>
          <w:szCs w:val="21"/>
        </w:rPr>
        <w:t>维修</w:t>
      </w:r>
      <w:r>
        <w:rPr>
          <w:rFonts w:asciiTheme="majorEastAsia" w:hAnsiTheme="majorEastAsia" w:eastAsiaTheme="majorEastAsia" w:cstheme="majorEastAsia"/>
          <w:bCs/>
          <w:szCs w:val="21"/>
        </w:rPr>
        <w:t>包干服务相关工作的通知》（渝公租房【2024】25号）</w:t>
      </w:r>
      <w:r>
        <w:rPr>
          <w:rFonts w:hint="eastAsia" w:asciiTheme="majorEastAsia" w:hAnsiTheme="majorEastAsia" w:eastAsiaTheme="majorEastAsia" w:cstheme="majorEastAsia"/>
          <w:bCs/>
          <w:szCs w:val="21"/>
        </w:rPr>
        <w:t>文件，</w:t>
      </w:r>
      <w:r>
        <w:rPr>
          <w:rFonts w:asciiTheme="majorEastAsia" w:hAnsiTheme="majorEastAsia" w:eastAsiaTheme="majorEastAsia" w:cstheme="majorEastAsia"/>
          <w:bCs/>
          <w:szCs w:val="21"/>
        </w:rPr>
        <w:t>为及时开展小区电梯日常维修，确保维保质量，保障电梯安全运行，提高电梯管理服务水平，电梯包干维修中</w:t>
      </w:r>
      <w:r>
        <w:rPr>
          <w:rFonts w:hint="eastAsia" w:asciiTheme="majorEastAsia" w:hAnsiTheme="majorEastAsia" w:eastAsiaTheme="majorEastAsia" w:cstheme="majorEastAsia"/>
          <w:bCs/>
          <w:szCs w:val="21"/>
        </w:rPr>
        <w:t>标</w:t>
      </w:r>
      <w:r>
        <w:rPr>
          <w:rFonts w:asciiTheme="majorEastAsia" w:hAnsiTheme="majorEastAsia" w:eastAsiaTheme="majorEastAsia" w:cstheme="majorEastAsia"/>
          <w:bCs/>
          <w:szCs w:val="21"/>
        </w:rPr>
        <w:t>人自动获得电梯日常保养合同签约资格</w:t>
      </w:r>
      <w:r>
        <w:rPr>
          <w:rFonts w:hint="eastAsia" w:asciiTheme="majorEastAsia" w:hAnsiTheme="majorEastAsia" w:eastAsiaTheme="majorEastAsia" w:cstheme="majorEastAsia"/>
          <w:bCs/>
          <w:szCs w:val="21"/>
        </w:rPr>
        <w:t>，并根据《中华人民共和国民法典》《特种设备安全法》《重庆市电梯安全管理办法》有关规定，签订招标人（比选人）、物业公司、电梯企业三方服务合同。其中：电梯日常维保价格最高限价为350元/(台·月)，最终价格根据电梯日常维修包干服务招标实际中标（中选）价格同比例进行下浮，即：日常包干维修中标价格÷日常包干维修最高限价×350元，且此项费用不包含在包干维修费内，比选申请人不进行单独报价</w:t>
      </w:r>
      <w:r>
        <w:rPr>
          <w:rFonts w:asciiTheme="majorEastAsia" w:hAnsiTheme="majorEastAsia" w:eastAsiaTheme="majorEastAsia" w:cstheme="majorEastAsia"/>
          <w:bCs/>
          <w:szCs w:val="21"/>
        </w:rPr>
        <w:t>。</w:t>
      </w:r>
    </w:p>
    <w:p w14:paraId="60C2E2B1">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招标（比选）工作结束后，</w:t>
      </w:r>
      <w:r>
        <w:rPr>
          <w:rFonts w:asciiTheme="majorEastAsia" w:hAnsiTheme="majorEastAsia" w:eastAsiaTheme="majorEastAsia" w:cstheme="majorEastAsia"/>
          <w:bCs/>
          <w:szCs w:val="21"/>
        </w:rPr>
        <w:t>由招标人（比选）、小区物业企业和</w:t>
      </w:r>
      <w:r>
        <w:rPr>
          <w:rFonts w:hint="eastAsia" w:asciiTheme="majorEastAsia" w:hAnsiTheme="majorEastAsia" w:eastAsiaTheme="majorEastAsia" w:cstheme="majorEastAsia"/>
          <w:bCs/>
          <w:szCs w:val="21"/>
        </w:rPr>
        <w:t>包干维修</w:t>
      </w:r>
      <w:r>
        <w:rPr>
          <w:rFonts w:asciiTheme="majorEastAsia" w:hAnsiTheme="majorEastAsia" w:eastAsiaTheme="majorEastAsia" w:cstheme="majorEastAsia"/>
          <w:bCs/>
          <w:szCs w:val="21"/>
        </w:rPr>
        <w:t>中标人签订电梯日常维保+包干维修组合合同。</w:t>
      </w:r>
    </w:p>
    <w:p w14:paraId="42A8C769">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2.5服务期限：本次比选的电梯日常保养与维修服务期暂定三年，若因小区电梯更新，对应电梯的日常保养与维修服务期需要提前终止的，以比选人的书面通知为准，并按已服务的月份数量进行结算。合同一年一签。</w:t>
      </w:r>
    </w:p>
    <w:p w14:paraId="7F656662">
      <w:pPr>
        <w:spacing w:line="400" w:lineRule="exact"/>
        <w:rPr>
          <w:rFonts w:asciiTheme="majorEastAsia" w:hAnsiTheme="majorEastAsia" w:eastAsiaTheme="majorEastAsia" w:cstheme="majorEastAsia"/>
          <w:bCs/>
          <w:kern w:val="0"/>
          <w:szCs w:val="21"/>
        </w:rPr>
      </w:pPr>
      <w:bookmarkStart w:id="10" w:name="_Toc3086"/>
      <w:r>
        <w:rPr>
          <w:rFonts w:hint="eastAsia" w:asciiTheme="majorEastAsia" w:hAnsiTheme="majorEastAsia" w:eastAsiaTheme="majorEastAsia" w:cstheme="majorEastAsia"/>
          <w:bCs/>
          <w:kern w:val="0"/>
          <w:szCs w:val="21"/>
        </w:rPr>
        <w:t>3.比选申请人资格要求</w:t>
      </w:r>
      <w:bookmarkEnd w:id="10"/>
    </w:p>
    <w:p w14:paraId="51C79E56">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3.1本项目实行资格后审，比选申请人应具备以下资格条件：</w:t>
      </w:r>
    </w:p>
    <w:p w14:paraId="688D29E0">
      <w:pPr>
        <w:adjustRightInd w:val="0"/>
        <w:snapToGrid w:val="0"/>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szCs w:val="21"/>
        </w:rPr>
        <w:t>3.1.1比选申请人须具有合法有效的营业执照。</w:t>
      </w:r>
    </w:p>
    <w:p w14:paraId="2A15ED89">
      <w:pPr>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szCs w:val="21"/>
        </w:rPr>
        <w:t>3.1.2比选申请人须为一般纳税人。</w:t>
      </w:r>
    </w:p>
    <w:p w14:paraId="0737B6CD">
      <w:pPr>
        <w:widowControl/>
        <w:spacing w:line="390" w:lineRule="atLeast"/>
        <w:ind w:firstLine="420" w:firstLineChars="200"/>
        <w:jc w:val="left"/>
        <w:rPr>
          <w:rFonts w:ascii="宋体" w:hAnsi="宋体" w:cs="宋体"/>
          <w:snapToGrid w:val="0"/>
          <w:kern w:val="0"/>
          <w:szCs w:val="21"/>
        </w:rPr>
      </w:pPr>
      <w:r>
        <w:rPr>
          <w:rFonts w:asciiTheme="majorEastAsia" w:hAnsiTheme="majorEastAsia" w:eastAsiaTheme="majorEastAsia" w:cstheme="majorEastAsia"/>
          <w:szCs w:val="21"/>
        </w:rPr>
        <w:t>3.1.3</w:t>
      </w:r>
      <w:r>
        <w:rPr>
          <w:rFonts w:hint="eastAsia" w:asciiTheme="majorEastAsia" w:hAnsiTheme="majorEastAsia" w:eastAsiaTheme="majorEastAsia" w:cstheme="majorEastAsia"/>
          <w:szCs w:val="21"/>
        </w:rPr>
        <w:t>比选申请人</w:t>
      </w:r>
      <w:r>
        <w:rPr>
          <w:rFonts w:hint="eastAsia" w:ascii="宋体" w:hAnsi="宋体" w:cs="宋体"/>
          <w:snapToGrid w:val="0"/>
          <w:kern w:val="0"/>
          <w:szCs w:val="21"/>
        </w:rPr>
        <w:t>应满足以下资质要求：具有国家市场监督管理部门颁发的《中华人民共和国特种设备生产许可证》，其许可项目为“</w:t>
      </w:r>
      <w:r>
        <w:rPr>
          <w:rFonts w:hint="eastAsia" w:ascii="宋体" w:hAnsi="宋体" w:cs="宋体"/>
          <w:iCs/>
          <w:snapToGrid w:val="0"/>
          <w:kern w:val="0"/>
          <w:szCs w:val="21"/>
        </w:rPr>
        <w:t>电梯制造（含安装、修理、改造）</w:t>
      </w:r>
      <w:r>
        <w:rPr>
          <w:rFonts w:hint="eastAsia" w:ascii="宋体" w:hAnsi="宋体" w:cs="宋体"/>
          <w:snapToGrid w:val="0"/>
          <w:kern w:val="0"/>
          <w:szCs w:val="21"/>
        </w:rPr>
        <w:t>”或“电梯安装（含修理）”（乘客电梯）B</w:t>
      </w:r>
      <w:r>
        <w:rPr>
          <w:rFonts w:ascii="宋体" w:hAnsi="宋体" w:cs="宋体"/>
          <w:snapToGrid w:val="0"/>
          <w:kern w:val="0"/>
          <w:szCs w:val="21"/>
        </w:rPr>
        <w:t>级</w:t>
      </w:r>
      <w:r>
        <w:rPr>
          <w:rFonts w:hint="eastAsia" w:ascii="宋体" w:hAnsi="宋体" w:cs="宋体"/>
          <w:snapToGrid w:val="0"/>
          <w:kern w:val="0"/>
          <w:szCs w:val="21"/>
        </w:rPr>
        <w:t>及以上资质</w:t>
      </w:r>
      <w:r>
        <w:rPr>
          <w:rFonts w:ascii="宋体" w:hAnsi="宋体" w:cs="宋体"/>
          <w:snapToGrid w:val="0"/>
          <w:kern w:val="0"/>
          <w:szCs w:val="21"/>
        </w:rPr>
        <w:t>。</w:t>
      </w:r>
    </w:p>
    <w:p w14:paraId="3BB70004">
      <w:pPr>
        <w:widowControl/>
        <w:spacing w:line="390" w:lineRule="atLeast"/>
        <w:ind w:firstLine="420" w:firstLineChars="200"/>
        <w:jc w:val="left"/>
        <w:rPr>
          <w:rFonts w:ascii="宋体" w:hAnsi="宋体" w:cs="宋体"/>
          <w:snapToGrid w:val="0"/>
          <w:kern w:val="0"/>
          <w:szCs w:val="21"/>
        </w:rPr>
      </w:pPr>
      <w:r>
        <w:rPr>
          <w:rFonts w:hint="eastAsia" w:ascii="宋体" w:hAnsi="宋体" w:cs="宋体"/>
          <w:snapToGrid w:val="0"/>
          <w:kern w:val="0"/>
          <w:szCs w:val="21"/>
        </w:rPr>
        <w:t>特别说明：根据市场监管总局关于特种设备行政许可有关事项的公告〔</w:t>
      </w:r>
      <w:r>
        <w:rPr>
          <w:rFonts w:ascii="宋体" w:hAnsi="宋体" w:cs="宋体"/>
          <w:snapToGrid w:val="0"/>
          <w:kern w:val="0"/>
          <w:szCs w:val="21"/>
        </w:rPr>
        <w:t>2019年</w:t>
      </w:r>
      <w:r>
        <w:rPr>
          <w:rFonts w:hint="eastAsia" w:ascii="宋体" w:hAnsi="宋体" w:cs="宋体"/>
          <w:snapToGrid w:val="0"/>
          <w:kern w:val="0"/>
          <w:szCs w:val="21"/>
        </w:rPr>
        <w:t>第</w:t>
      </w:r>
      <w:r>
        <w:rPr>
          <w:rFonts w:ascii="宋体" w:hAnsi="宋体" w:cs="宋体"/>
          <w:snapToGrid w:val="0"/>
          <w:kern w:val="0"/>
          <w:szCs w:val="21"/>
        </w:rPr>
        <w:t>3号〕文《特种设备生产单位许可目录》</w:t>
      </w:r>
      <w:r>
        <w:rPr>
          <w:rFonts w:hint="eastAsia" w:ascii="宋体" w:hAnsi="宋体" w:cs="宋体"/>
          <w:snapToGrid w:val="0"/>
          <w:kern w:val="0"/>
          <w:szCs w:val="21"/>
        </w:rPr>
        <w:t>中注四：</w:t>
      </w:r>
      <w:r>
        <w:rPr>
          <w:rFonts w:ascii="宋体" w:hAnsi="宋体" w:cs="宋体"/>
          <w:snapToGrid w:val="0"/>
          <w:kern w:val="0"/>
          <w:szCs w:val="21"/>
        </w:rPr>
        <w:t>电梯许可参数级别的规定，乘客电梯许可参数级别如下：</w:t>
      </w:r>
    </w:p>
    <w:tbl>
      <w:tblPr>
        <w:tblStyle w:val="5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108" w:type="dxa"/>
          <w:bottom w:w="57" w:type="dxa"/>
          <w:right w:w="108" w:type="dxa"/>
        </w:tblCellMar>
      </w:tblPr>
      <w:tblGrid>
        <w:gridCol w:w="2587"/>
        <w:gridCol w:w="1454"/>
        <w:gridCol w:w="1937"/>
        <w:gridCol w:w="1452"/>
        <w:gridCol w:w="2424"/>
      </w:tblGrid>
      <w:tr w14:paraId="1EB18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0" w:hRule="atLeast"/>
          <w:jc w:val="center"/>
        </w:trPr>
        <w:tc>
          <w:tcPr>
            <w:tcW w:w="1312" w:type="pct"/>
            <w:vMerge w:val="restart"/>
            <w:vAlign w:val="center"/>
          </w:tcPr>
          <w:p w14:paraId="1AFA043E">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设备类别</w:t>
            </w:r>
          </w:p>
        </w:tc>
        <w:tc>
          <w:tcPr>
            <w:tcW w:w="2458" w:type="pct"/>
            <w:gridSpan w:val="3"/>
            <w:vAlign w:val="center"/>
          </w:tcPr>
          <w:p w14:paraId="2FB152A9">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许可参数级别</w:t>
            </w:r>
          </w:p>
        </w:tc>
        <w:tc>
          <w:tcPr>
            <w:tcW w:w="1230" w:type="pct"/>
            <w:vMerge w:val="restart"/>
            <w:vAlign w:val="center"/>
          </w:tcPr>
          <w:p w14:paraId="4546A61E">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备注</w:t>
            </w:r>
          </w:p>
        </w:tc>
      </w:tr>
      <w:tr w14:paraId="1D0CB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254" w:hRule="atLeast"/>
          <w:jc w:val="center"/>
        </w:trPr>
        <w:tc>
          <w:tcPr>
            <w:tcW w:w="1312" w:type="pct"/>
            <w:vMerge w:val="continue"/>
            <w:vAlign w:val="center"/>
          </w:tcPr>
          <w:p w14:paraId="0987E471">
            <w:pPr>
              <w:autoSpaceDE w:val="0"/>
              <w:autoSpaceDN w:val="0"/>
              <w:adjustRightInd w:val="0"/>
              <w:snapToGrid w:val="0"/>
              <w:spacing w:line="360" w:lineRule="auto"/>
              <w:jc w:val="center"/>
              <w:rPr>
                <w:rFonts w:ascii="宋体" w:hAnsi="宋体" w:cs="宋体"/>
                <w:bCs/>
                <w:szCs w:val="21"/>
              </w:rPr>
            </w:pPr>
          </w:p>
        </w:tc>
        <w:tc>
          <w:tcPr>
            <w:tcW w:w="738" w:type="pct"/>
            <w:vAlign w:val="center"/>
          </w:tcPr>
          <w:p w14:paraId="1D216A2E">
            <w:pPr>
              <w:autoSpaceDE w:val="0"/>
              <w:autoSpaceDN w:val="0"/>
              <w:adjustRightInd w:val="0"/>
              <w:snapToGrid w:val="0"/>
              <w:spacing w:line="360" w:lineRule="auto"/>
              <w:jc w:val="center"/>
              <w:rPr>
                <w:rFonts w:ascii="宋体" w:hAnsi="宋体" w:cs="宋体"/>
                <w:bCs/>
                <w:szCs w:val="21"/>
              </w:rPr>
            </w:pPr>
            <w:r>
              <w:rPr>
                <w:rFonts w:ascii="宋体" w:hAnsi="宋体" w:cs="宋体"/>
                <w:bCs/>
                <w:szCs w:val="21"/>
              </w:rPr>
              <w:t>A1</w:t>
            </w:r>
          </w:p>
        </w:tc>
        <w:tc>
          <w:tcPr>
            <w:tcW w:w="983" w:type="pct"/>
            <w:vAlign w:val="center"/>
          </w:tcPr>
          <w:p w14:paraId="2F117356">
            <w:pPr>
              <w:autoSpaceDE w:val="0"/>
              <w:autoSpaceDN w:val="0"/>
              <w:adjustRightInd w:val="0"/>
              <w:snapToGrid w:val="0"/>
              <w:spacing w:line="360" w:lineRule="auto"/>
              <w:jc w:val="center"/>
              <w:rPr>
                <w:rFonts w:ascii="宋体" w:hAnsi="宋体" w:cs="宋体"/>
                <w:bCs/>
                <w:szCs w:val="21"/>
              </w:rPr>
            </w:pPr>
            <w:r>
              <w:rPr>
                <w:rFonts w:ascii="宋体" w:hAnsi="宋体" w:cs="宋体"/>
                <w:bCs/>
                <w:szCs w:val="21"/>
              </w:rPr>
              <w:t>A2</w:t>
            </w:r>
          </w:p>
        </w:tc>
        <w:tc>
          <w:tcPr>
            <w:tcW w:w="737" w:type="pct"/>
            <w:vAlign w:val="center"/>
          </w:tcPr>
          <w:p w14:paraId="2BE38130">
            <w:pPr>
              <w:autoSpaceDE w:val="0"/>
              <w:autoSpaceDN w:val="0"/>
              <w:adjustRightInd w:val="0"/>
              <w:snapToGrid w:val="0"/>
              <w:spacing w:line="360" w:lineRule="auto"/>
              <w:jc w:val="center"/>
              <w:rPr>
                <w:rFonts w:ascii="宋体" w:hAnsi="宋体" w:cs="宋体"/>
                <w:bCs/>
                <w:szCs w:val="21"/>
              </w:rPr>
            </w:pPr>
            <w:r>
              <w:rPr>
                <w:rFonts w:ascii="宋体" w:hAnsi="宋体" w:cs="宋体"/>
                <w:bCs/>
                <w:szCs w:val="21"/>
              </w:rPr>
              <w:t>B</w:t>
            </w:r>
          </w:p>
        </w:tc>
        <w:tc>
          <w:tcPr>
            <w:tcW w:w="1230" w:type="pct"/>
            <w:vMerge w:val="continue"/>
            <w:vAlign w:val="center"/>
          </w:tcPr>
          <w:p w14:paraId="40BE96B6">
            <w:pPr>
              <w:autoSpaceDE w:val="0"/>
              <w:autoSpaceDN w:val="0"/>
              <w:adjustRightInd w:val="0"/>
              <w:snapToGrid w:val="0"/>
              <w:spacing w:line="360" w:lineRule="auto"/>
              <w:jc w:val="center"/>
              <w:rPr>
                <w:rFonts w:ascii="宋体" w:hAnsi="宋体" w:cs="宋体"/>
                <w:bCs/>
                <w:szCs w:val="21"/>
              </w:rPr>
            </w:pPr>
          </w:p>
        </w:tc>
      </w:tr>
      <w:tr w14:paraId="7A01B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504" w:hRule="atLeast"/>
          <w:jc w:val="center"/>
        </w:trPr>
        <w:tc>
          <w:tcPr>
            <w:tcW w:w="1312" w:type="pct"/>
            <w:vAlign w:val="center"/>
          </w:tcPr>
          <w:p w14:paraId="507CFD4E">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曳引驱动乘客电梯（含消防员电梯）</w:t>
            </w:r>
          </w:p>
        </w:tc>
        <w:tc>
          <w:tcPr>
            <w:tcW w:w="738" w:type="pct"/>
            <w:vAlign w:val="center"/>
          </w:tcPr>
          <w:p w14:paraId="2575CC7E">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额定速度＞</w:t>
            </w:r>
            <w:r>
              <w:rPr>
                <w:rFonts w:ascii="宋体" w:hAnsi="宋体" w:cs="宋体"/>
                <w:bCs/>
                <w:szCs w:val="21"/>
              </w:rPr>
              <w:t>6.0m/s</w:t>
            </w:r>
          </w:p>
        </w:tc>
        <w:tc>
          <w:tcPr>
            <w:tcW w:w="983" w:type="pct"/>
            <w:vAlign w:val="center"/>
          </w:tcPr>
          <w:p w14:paraId="6B650946">
            <w:pPr>
              <w:autoSpaceDE w:val="0"/>
              <w:autoSpaceDN w:val="0"/>
              <w:adjustRightInd w:val="0"/>
              <w:snapToGrid w:val="0"/>
              <w:spacing w:line="360" w:lineRule="auto"/>
              <w:jc w:val="center"/>
              <w:rPr>
                <w:rFonts w:ascii="宋体" w:hAnsi="宋体" w:cs="宋体"/>
                <w:bCs/>
                <w:szCs w:val="21"/>
              </w:rPr>
            </w:pPr>
            <w:r>
              <w:rPr>
                <w:rFonts w:ascii="宋体" w:hAnsi="宋体" w:cs="宋体"/>
                <w:bCs/>
                <w:szCs w:val="21"/>
              </w:rPr>
              <w:t>2.5m/s＜额定速度≤6.0m/s</w:t>
            </w:r>
          </w:p>
        </w:tc>
        <w:tc>
          <w:tcPr>
            <w:tcW w:w="737" w:type="pct"/>
            <w:vAlign w:val="center"/>
          </w:tcPr>
          <w:p w14:paraId="2D2B8EB1">
            <w:pPr>
              <w:autoSpaceDE w:val="0"/>
              <w:autoSpaceDN w:val="0"/>
              <w:adjustRightInd w:val="0"/>
              <w:snapToGrid w:val="0"/>
              <w:spacing w:line="360" w:lineRule="auto"/>
              <w:jc w:val="center"/>
              <w:rPr>
                <w:rFonts w:ascii="宋体" w:hAnsi="宋体" w:cs="宋体"/>
                <w:bCs/>
                <w:szCs w:val="21"/>
              </w:rPr>
            </w:pPr>
            <w:r>
              <w:rPr>
                <w:rFonts w:hint="eastAsia" w:ascii="宋体" w:hAnsi="宋体" w:cs="宋体"/>
                <w:bCs/>
                <w:szCs w:val="21"/>
              </w:rPr>
              <w:t>额定速度≤</w:t>
            </w:r>
            <w:r>
              <w:rPr>
                <w:rFonts w:ascii="宋体" w:hAnsi="宋体" w:cs="宋体"/>
                <w:bCs/>
                <w:szCs w:val="21"/>
              </w:rPr>
              <w:t>2.5m/s</w:t>
            </w:r>
          </w:p>
        </w:tc>
        <w:tc>
          <w:tcPr>
            <w:tcW w:w="1230" w:type="pct"/>
            <w:vAlign w:val="center"/>
          </w:tcPr>
          <w:p w14:paraId="66D0E029">
            <w:pPr>
              <w:autoSpaceDE w:val="0"/>
              <w:autoSpaceDN w:val="0"/>
              <w:adjustRightInd w:val="0"/>
              <w:snapToGrid w:val="0"/>
              <w:spacing w:line="360" w:lineRule="auto"/>
              <w:jc w:val="center"/>
              <w:rPr>
                <w:rFonts w:ascii="宋体" w:hAnsi="宋体" w:cs="宋体"/>
                <w:bCs/>
                <w:szCs w:val="21"/>
              </w:rPr>
            </w:pPr>
            <w:r>
              <w:rPr>
                <w:rFonts w:ascii="宋体" w:hAnsi="宋体" w:cs="宋体"/>
                <w:bCs/>
                <w:szCs w:val="21"/>
              </w:rPr>
              <w:t>A1级覆盖A2和B级，A2级覆盖B级。</w:t>
            </w:r>
          </w:p>
        </w:tc>
      </w:tr>
    </w:tbl>
    <w:p w14:paraId="4F23EFBF">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3.2具体要求详见比选文件第二章比选申请人须知前附表1.4.1项内容。</w:t>
      </w:r>
    </w:p>
    <w:p w14:paraId="7279B86F">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3.3本次比选不接受联合体比选申请。</w:t>
      </w:r>
    </w:p>
    <w:p w14:paraId="4BCF2297">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11" w:name="_Toc12379"/>
      <w:r>
        <w:rPr>
          <w:rFonts w:hint="eastAsia" w:asciiTheme="majorEastAsia" w:hAnsiTheme="majorEastAsia" w:eastAsiaTheme="majorEastAsia" w:cstheme="majorEastAsia"/>
          <w:bCs/>
          <w:spacing w:val="0"/>
          <w:w w:val="100"/>
          <w:kern w:val="0"/>
          <w:sz w:val="21"/>
          <w:szCs w:val="21"/>
        </w:rPr>
        <w:t>4.竞争性比选文件的获取</w:t>
      </w:r>
      <w:bookmarkEnd w:id="11"/>
    </w:p>
    <w:p w14:paraId="1E24FE0B">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4.1比选申请报名：凡有意参加的比选申请人，请于</w:t>
      </w:r>
      <w:r>
        <w:rPr>
          <w:rFonts w:asciiTheme="majorEastAsia" w:hAnsiTheme="majorEastAsia" w:eastAsiaTheme="majorEastAsia" w:cstheme="majorEastAsia"/>
          <w:snapToGrid w:val="0"/>
          <w:kern w:val="0"/>
          <w:szCs w:val="21"/>
        </w:rPr>
        <w:t>2025年</w:t>
      </w:r>
      <w:r>
        <w:rPr>
          <w:rFonts w:hint="eastAsia" w:asciiTheme="majorEastAsia" w:hAnsiTheme="majorEastAsia" w:eastAsiaTheme="majorEastAsia" w:cstheme="majorEastAsia"/>
          <w:snapToGrid w:val="0"/>
          <w:kern w:val="0"/>
          <w:szCs w:val="21"/>
        </w:rPr>
        <w:t>9月8日至</w:t>
      </w:r>
      <w:r>
        <w:rPr>
          <w:rFonts w:asciiTheme="majorEastAsia" w:hAnsiTheme="majorEastAsia" w:eastAsiaTheme="majorEastAsia" w:cstheme="majorEastAsia"/>
          <w:snapToGrid w:val="0"/>
          <w:kern w:val="0"/>
          <w:szCs w:val="21"/>
        </w:rPr>
        <w:t>2025年</w:t>
      </w:r>
      <w:r>
        <w:rPr>
          <w:rFonts w:hint="eastAsia" w:asciiTheme="majorEastAsia" w:hAnsiTheme="majorEastAsia" w:eastAsiaTheme="majorEastAsia" w:cstheme="majorEastAsia"/>
          <w:snapToGrid w:val="0"/>
          <w:kern w:val="0"/>
          <w:szCs w:val="21"/>
        </w:rPr>
        <w:t>9月12日17时00分（北京时间），将单位营业执照扫描件</w:t>
      </w:r>
      <w:r>
        <w:rPr>
          <w:rFonts w:hint="eastAsia" w:asciiTheme="majorEastAsia" w:hAnsiTheme="majorEastAsia" w:eastAsiaTheme="majorEastAsia" w:cstheme="majorEastAsia"/>
          <w:iCs/>
          <w:snapToGrid w:val="0"/>
          <w:kern w:val="0"/>
          <w:szCs w:val="21"/>
        </w:rPr>
        <w:t>、《中华人民共和国特种设备生产许可证》扫描件、</w:t>
      </w:r>
      <w:r>
        <w:rPr>
          <w:rFonts w:hint="eastAsia" w:asciiTheme="majorEastAsia" w:hAnsiTheme="majorEastAsia" w:eastAsiaTheme="majorEastAsia" w:cstheme="majorEastAsia"/>
          <w:snapToGrid w:val="0"/>
          <w:kern w:val="0"/>
          <w:szCs w:val="21"/>
        </w:rPr>
        <w:t>法人授权委托书扫描件、委托代理人身份证扫描件扫描后以一份PDF的格式发送至电子邮箱（</w:t>
      </w:r>
      <w:r>
        <w:rPr>
          <w:rFonts w:asciiTheme="majorEastAsia" w:hAnsiTheme="majorEastAsia" w:eastAsiaTheme="majorEastAsia" w:cstheme="majorEastAsia"/>
          <w:snapToGrid w:val="0"/>
          <w:kern w:val="0"/>
          <w:szCs w:val="21"/>
        </w:rPr>
        <w:t>375148900</w:t>
      </w:r>
      <w:r>
        <w:rPr>
          <w:rFonts w:hint="eastAsia" w:asciiTheme="majorEastAsia" w:hAnsiTheme="majorEastAsia" w:eastAsiaTheme="majorEastAsia" w:cstheme="majorEastAsia"/>
          <w:snapToGrid w:val="0"/>
          <w:kern w:val="0"/>
          <w:szCs w:val="21"/>
        </w:rPr>
        <w:t>@qq.com），代理机构审核无误后通过邮件形式将本项目全部资料发到比选申请人电子邮箱。</w:t>
      </w:r>
    </w:p>
    <w:p w14:paraId="48CF69E8">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4.2未购买竞争性比选文件的比选申请人，比选人和比选代理机构将不予接收其比选申请文件。</w:t>
      </w:r>
    </w:p>
    <w:p w14:paraId="1BEF75C9">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12" w:name="_Toc4898"/>
      <w:r>
        <w:rPr>
          <w:rFonts w:hint="eastAsia" w:asciiTheme="majorEastAsia" w:hAnsiTheme="majorEastAsia" w:eastAsiaTheme="majorEastAsia" w:cstheme="majorEastAsia"/>
          <w:bCs/>
          <w:spacing w:val="0"/>
          <w:w w:val="100"/>
          <w:kern w:val="0"/>
          <w:sz w:val="21"/>
          <w:szCs w:val="21"/>
        </w:rPr>
        <w:t>5.比选申请文件的递交</w:t>
      </w:r>
      <w:bookmarkEnd w:id="12"/>
    </w:p>
    <w:p w14:paraId="7CDAA80D">
      <w:pPr>
        <w:spacing w:line="400" w:lineRule="exact"/>
        <w:ind w:firstLine="420" w:firstLineChars="200"/>
        <w:jc w:val="left"/>
        <w:rPr>
          <w:rFonts w:asciiTheme="majorEastAsia" w:hAnsiTheme="majorEastAsia" w:eastAsiaTheme="majorEastAsia" w:cstheme="majorEastAsia"/>
          <w:snapToGrid w:val="0"/>
          <w:kern w:val="0"/>
          <w:szCs w:val="21"/>
        </w:rPr>
      </w:pPr>
      <w:bookmarkStart w:id="13" w:name="_Toc23284"/>
      <w:bookmarkStart w:id="14" w:name="_Toc12359"/>
      <w:r>
        <w:rPr>
          <w:rFonts w:hint="eastAsia" w:asciiTheme="majorEastAsia" w:hAnsiTheme="majorEastAsia" w:eastAsiaTheme="majorEastAsia" w:cstheme="majorEastAsia"/>
          <w:snapToGrid w:val="0"/>
          <w:kern w:val="0"/>
          <w:szCs w:val="21"/>
        </w:rPr>
        <w:t>5.1递交截止时间：</w:t>
      </w:r>
      <w:r>
        <w:rPr>
          <w:rFonts w:asciiTheme="majorEastAsia" w:hAnsiTheme="majorEastAsia" w:eastAsiaTheme="majorEastAsia" w:cstheme="majorEastAsia"/>
          <w:snapToGrid w:val="0"/>
          <w:kern w:val="0"/>
          <w:szCs w:val="21"/>
        </w:rPr>
        <w:t>2025年</w:t>
      </w:r>
      <w:r>
        <w:rPr>
          <w:rFonts w:hint="eastAsia" w:asciiTheme="majorEastAsia" w:hAnsiTheme="majorEastAsia" w:eastAsiaTheme="majorEastAsia" w:cstheme="majorEastAsia"/>
          <w:snapToGrid w:val="0"/>
          <w:kern w:val="0"/>
          <w:szCs w:val="21"/>
        </w:rPr>
        <w:t>9月15日</w:t>
      </w:r>
      <w:r>
        <w:rPr>
          <w:rFonts w:asciiTheme="majorEastAsia" w:hAnsiTheme="majorEastAsia" w:eastAsiaTheme="majorEastAsia" w:cstheme="majorEastAsia"/>
          <w:snapToGrid w:val="0"/>
          <w:kern w:val="0"/>
          <w:szCs w:val="21"/>
        </w:rPr>
        <w:t>10</w:t>
      </w:r>
      <w:r>
        <w:rPr>
          <w:rFonts w:hint="eastAsia" w:asciiTheme="majorEastAsia" w:hAnsiTheme="majorEastAsia" w:eastAsiaTheme="majorEastAsia" w:cstheme="majorEastAsia"/>
          <w:snapToGrid w:val="0"/>
          <w:kern w:val="0"/>
          <w:szCs w:val="21"/>
        </w:rPr>
        <w:t>时</w:t>
      </w:r>
      <w:r>
        <w:rPr>
          <w:rFonts w:asciiTheme="majorEastAsia" w:hAnsiTheme="majorEastAsia" w:eastAsiaTheme="majorEastAsia" w:cstheme="majorEastAsia"/>
          <w:snapToGrid w:val="0"/>
          <w:kern w:val="0"/>
          <w:szCs w:val="21"/>
        </w:rPr>
        <w:t>00分</w:t>
      </w:r>
      <w:r>
        <w:rPr>
          <w:rFonts w:hint="eastAsia" w:asciiTheme="majorEastAsia" w:hAnsiTheme="majorEastAsia" w:eastAsiaTheme="majorEastAsia" w:cstheme="majorEastAsia"/>
          <w:snapToGrid w:val="0"/>
          <w:kern w:val="0"/>
          <w:szCs w:val="21"/>
        </w:rPr>
        <w:t>。</w:t>
      </w:r>
    </w:p>
    <w:p w14:paraId="27813FC3">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5.2递交方式：比选申请人将比选申请文件递交至重庆咨询大厦开标大厅（重庆市江北区五里店五简路2号重庆咨询大厦），</w:t>
      </w:r>
      <w:r>
        <w:rPr>
          <w:rFonts w:hint="eastAsia" w:ascii="宋体" w:hAnsi="宋体"/>
          <w:bCs/>
          <w:szCs w:val="21"/>
        </w:rPr>
        <w:t>具体接标处详见开标当天A栋负一楼电子显示屏。</w:t>
      </w:r>
    </w:p>
    <w:p w14:paraId="3F111F6F">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5.3逾期送达，或未送达指定地点，或未按比选文件要求密封的比选申请文件，比选人不予受理。纸质文件递交。</w:t>
      </w:r>
    </w:p>
    <w:p w14:paraId="5B81CA98">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r>
        <w:rPr>
          <w:rFonts w:hint="eastAsia" w:asciiTheme="majorEastAsia" w:hAnsiTheme="majorEastAsia" w:eastAsiaTheme="majorEastAsia" w:cstheme="majorEastAsia"/>
          <w:bCs/>
          <w:spacing w:val="0"/>
          <w:w w:val="100"/>
          <w:kern w:val="0"/>
          <w:sz w:val="21"/>
          <w:szCs w:val="21"/>
        </w:rPr>
        <w:t>6.发布公告的媒介</w:t>
      </w:r>
      <w:bookmarkEnd w:id="13"/>
      <w:bookmarkEnd w:id="14"/>
    </w:p>
    <w:p w14:paraId="68E03D20">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rPr>
        <w:t>本次竞争性比选公告同时在</w:t>
      </w:r>
      <w:r>
        <w:rPr>
          <w:rFonts w:hint="eastAsia" w:asciiTheme="majorEastAsia" w:hAnsiTheme="majorEastAsia" w:eastAsiaTheme="majorEastAsia" w:cstheme="majorEastAsia"/>
          <w:szCs w:val="21"/>
        </w:rPr>
        <w:t>“重庆国际投资咨询集团有限公司”官网、“重庆渝开发股份有限公司”官网、“中国采购与招标网”官网、重庆渝开发物业管理有限公司办公地点公告栏</w:t>
      </w:r>
      <w:r>
        <w:rPr>
          <w:rFonts w:hint="eastAsia" w:asciiTheme="majorEastAsia" w:hAnsiTheme="majorEastAsia" w:eastAsiaTheme="majorEastAsia" w:cstheme="majorEastAsia"/>
          <w:snapToGrid w:val="0"/>
        </w:rPr>
        <w:t>上发布。</w:t>
      </w:r>
    </w:p>
    <w:p w14:paraId="6DBEB148">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15" w:name="_Toc21885"/>
      <w:r>
        <w:rPr>
          <w:rFonts w:hint="eastAsia" w:asciiTheme="majorEastAsia" w:hAnsiTheme="majorEastAsia" w:eastAsiaTheme="majorEastAsia" w:cstheme="majorEastAsia"/>
          <w:bCs/>
          <w:spacing w:val="0"/>
          <w:w w:val="100"/>
          <w:kern w:val="0"/>
          <w:sz w:val="21"/>
          <w:szCs w:val="21"/>
        </w:rPr>
        <w:t>7.联系方式</w:t>
      </w:r>
      <w:bookmarkEnd w:id="15"/>
    </w:p>
    <w:p w14:paraId="0DFDBAD8">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比选人：重庆渝开发物业管理有限公司</w:t>
      </w:r>
    </w:p>
    <w:p w14:paraId="14EC30B6">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地  址：重庆市南岸区江南大道2号重庆国际会议展览中心会议中心5楼</w:t>
      </w:r>
    </w:p>
    <w:p w14:paraId="3F573A3F">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联系人：王先生</w:t>
      </w:r>
    </w:p>
    <w:p w14:paraId="1F14A28D">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联系电话：023-67872233</w:t>
      </w:r>
    </w:p>
    <w:p w14:paraId="49170FF7">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p>
    <w:p w14:paraId="736F2A55">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比选代理机构：重庆国际投资咨询集团有限公司</w:t>
      </w:r>
    </w:p>
    <w:p w14:paraId="16718BD4">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地址：重庆市江北区五简路2号重庆咨询大厦</w:t>
      </w:r>
    </w:p>
    <w:p w14:paraId="65768C84">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联系人：刘先生、玉先生</w:t>
      </w:r>
    </w:p>
    <w:p w14:paraId="641612A5">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rPr>
        <w:t>联系电话：</w:t>
      </w:r>
      <w:r>
        <w:rPr>
          <w:rFonts w:hint="eastAsia" w:asciiTheme="majorEastAsia" w:hAnsiTheme="majorEastAsia" w:eastAsiaTheme="majorEastAsia" w:cstheme="majorEastAsia"/>
          <w:snapToGrid w:val="0"/>
          <w:kern w:val="0"/>
          <w:szCs w:val="21"/>
        </w:rPr>
        <w:t>023-67700823</w:t>
      </w:r>
      <w:bookmarkEnd w:id="1"/>
      <w:bookmarkEnd w:id="2"/>
      <w:bookmarkEnd w:id="3"/>
      <w:bookmarkEnd w:id="4"/>
      <w:bookmarkEnd w:id="5"/>
      <w:bookmarkEnd w:id="6"/>
    </w:p>
    <w:p w14:paraId="7504703D">
      <w:pPr>
        <w:pStyle w:val="2"/>
        <w:numPr>
          <w:ilvl w:val="0"/>
          <w:numId w:val="0"/>
        </w:numPr>
        <w:rPr>
          <w:rFonts w:asciiTheme="majorEastAsia" w:hAnsiTheme="majorEastAsia" w:eastAsiaTheme="majorEastAsia" w:cstheme="majorEastAsia"/>
          <w:b/>
          <w:kern w:val="0"/>
          <w:szCs w:val="22"/>
        </w:rPr>
      </w:pPr>
      <w:r>
        <w:rPr>
          <w:rFonts w:hint="eastAsia" w:asciiTheme="majorEastAsia" w:hAnsiTheme="majorEastAsia" w:eastAsiaTheme="majorEastAsia" w:cstheme="majorEastAsia"/>
          <w:snapToGrid w:val="0"/>
          <w:kern w:val="0"/>
          <w:szCs w:val="21"/>
        </w:rPr>
        <w:br w:type="page"/>
      </w:r>
      <w:bookmarkStart w:id="16" w:name="_Toc16932"/>
      <w:bookmarkStart w:id="17" w:name="_Toc202469366"/>
      <w:bookmarkStart w:id="18" w:name="_Toc4239"/>
      <w:bookmarkStart w:id="19" w:name="_Toc444155909"/>
      <w:bookmarkStart w:id="20" w:name="_Toc20583"/>
      <w:bookmarkStart w:id="21" w:name="_Toc25441"/>
      <w:r>
        <w:rPr>
          <w:rFonts w:hint="eastAsia" w:asciiTheme="majorEastAsia" w:hAnsiTheme="majorEastAsia" w:eastAsiaTheme="majorEastAsia" w:cstheme="majorEastAsia"/>
          <w:b/>
          <w:kern w:val="0"/>
          <w:sz w:val="36"/>
          <w:szCs w:val="36"/>
        </w:rPr>
        <w:t>第二章 比选申请人须知</w:t>
      </w:r>
      <w:bookmarkEnd w:id="16"/>
      <w:bookmarkEnd w:id="17"/>
      <w:bookmarkEnd w:id="18"/>
      <w:bookmarkEnd w:id="19"/>
      <w:bookmarkEnd w:id="20"/>
      <w:bookmarkEnd w:id="21"/>
    </w:p>
    <w:p w14:paraId="0D59369D">
      <w:pPr>
        <w:pStyle w:val="3"/>
        <w:jc w:val="both"/>
        <w:rPr>
          <w:rFonts w:asciiTheme="majorEastAsia" w:hAnsiTheme="majorEastAsia" w:eastAsiaTheme="majorEastAsia" w:cstheme="majorEastAsia"/>
          <w:w w:val="100"/>
          <w:sz w:val="21"/>
          <w:szCs w:val="21"/>
        </w:rPr>
      </w:pPr>
      <w:bookmarkStart w:id="22" w:name="_Toc19448"/>
      <w:bookmarkStart w:id="23" w:name="_Toc356243614"/>
      <w:bookmarkStart w:id="24" w:name="_Toc354386951"/>
      <w:bookmarkStart w:id="25" w:name="_Toc18771"/>
      <w:bookmarkStart w:id="26" w:name="_Toc22072"/>
      <w:bookmarkStart w:id="27" w:name="_Toc444155910"/>
      <w:bookmarkStart w:id="28" w:name="_Toc13397"/>
      <w:bookmarkStart w:id="29" w:name="_Toc32029"/>
      <w:r>
        <w:rPr>
          <w:rFonts w:hint="eastAsia" w:asciiTheme="majorEastAsia" w:hAnsiTheme="majorEastAsia" w:eastAsiaTheme="majorEastAsia" w:cstheme="majorEastAsia"/>
          <w:w w:val="100"/>
          <w:sz w:val="21"/>
          <w:szCs w:val="21"/>
        </w:rPr>
        <w:t>比选申请人须知前附表</w:t>
      </w:r>
      <w:bookmarkEnd w:id="22"/>
      <w:bookmarkEnd w:id="23"/>
      <w:bookmarkEnd w:id="24"/>
      <w:bookmarkEnd w:id="25"/>
      <w:bookmarkEnd w:id="26"/>
      <w:bookmarkEnd w:id="27"/>
      <w:bookmarkEnd w:id="28"/>
      <w:bookmarkEnd w:id="29"/>
    </w:p>
    <w:p w14:paraId="4D1C60E1">
      <w:pPr>
        <w:spacing w:line="360" w:lineRule="auto"/>
        <w:ind w:firstLine="420" w:firstLineChars="200"/>
      </w:pPr>
      <w:r>
        <w:rPr>
          <w:rFonts w:ascii="宋体" w:hAnsi="宋体"/>
          <w:szCs w:val="21"/>
        </w:rPr>
        <w:t>正文内容不允许修改。若</w:t>
      </w:r>
      <w:r>
        <w:rPr>
          <w:rFonts w:hint="eastAsia" w:ascii="宋体" w:hAnsi="宋体"/>
          <w:szCs w:val="21"/>
        </w:rPr>
        <w:t>比选申请人</w:t>
      </w:r>
      <w:r>
        <w:rPr>
          <w:rFonts w:ascii="宋体" w:hAnsi="宋体"/>
          <w:szCs w:val="21"/>
        </w:rPr>
        <w:t>须知前附表与正文不一致的地方，以</w:t>
      </w:r>
      <w:r>
        <w:rPr>
          <w:rFonts w:hint="eastAsia" w:ascii="宋体" w:hAnsi="宋体"/>
          <w:szCs w:val="21"/>
        </w:rPr>
        <w:t>比选申请人</w:t>
      </w:r>
      <w:r>
        <w:rPr>
          <w:rFonts w:ascii="宋体" w:hAnsi="宋体"/>
          <w:szCs w:val="21"/>
        </w:rPr>
        <w:t>须知前附表为准。</w:t>
      </w:r>
    </w:p>
    <w:tbl>
      <w:tblPr>
        <w:tblStyle w:val="50"/>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06"/>
        <w:gridCol w:w="7215"/>
      </w:tblGrid>
      <w:tr w14:paraId="3AE3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vAlign w:val="center"/>
          </w:tcPr>
          <w:p w14:paraId="7B531497">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条款号</w:t>
            </w:r>
          </w:p>
        </w:tc>
        <w:tc>
          <w:tcPr>
            <w:tcW w:w="1506" w:type="dxa"/>
            <w:vAlign w:val="center"/>
          </w:tcPr>
          <w:p w14:paraId="4FBBBBF7">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条款名称</w:t>
            </w:r>
          </w:p>
        </w:tc>
        <w:tc>
          <w:tcPr>
            <w:tcW w:w="7215" w:type="dxa"/>
            <w:vAlign w:val="center"/>
          </w:tcPr>
          <w:p w14:paraId="4E00E69E">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编  列  内  容</w:t>
            </w:r>
          </w:p>
        </w:tc>
      </w:tr>
      <w:tr w14:paraId="5C7E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087366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1.1.2</w:t>
            </w:r>
          </w:p>
        </w:tc>
        <w:tc>
          <w:tcPr>
            <w:tcW w:w="1506" w:type="dxa"/>
            <w:vAlign w:val="center"/>
          </w:tcPr>
          <w:p w14:paraId="0E9D3F68">
            <w:pPr>
              <w:snapToGrid w:val="0"/>
              <w:spacing w:line="400" w:lineRule="exact"/>
              <w:jc w:val="center"/>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比选人</w:t>
            </w:r>
          </w:p>
        </w:tc>
        <w:tc>
          <w:tcPr>
            <w:tcW w:w="7215" w:type="dxa"/>
            <w:vAlign w:val="center"/>
          </w:tcPr>
          <w:p w14:paraId="0ADE3C50">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Cs/>
                <w:snapToGrid w:val="0"/>
                <w:kern w:val="0"/>
                <w:szCs w:val="21"/>
              </w:rPr>
              <w:t>比选人：</w:t>
            </w:r>
            <w:r>
              <w:rPr>
                <w:rFonts w:hint="eastAsia" w:asciiTheme="majorEastAsia" w:hAnsiTheme="majorEastAsia" w:eastAsiaTheme="majorEastAsia" w:cstheme="majorEastAsia"/>
                <w:snapToGrid w:val="0"/>
              </w:rPr>
              <w:t>重庆渝开发物业管理有限公司</w:t>
            </w:r>
          </w:p>
          <w:p w14:paraId="06E92669">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地  址：</w:t>
            </w:r>
            <w:r>
              <w:rPr>
                <w:rFonts w:hint="eastAsia" w:asciiTheme="majorEastAsia" w:hAnsiTheme="majorEastAsia" w:eastAsiaTheme="majorEastAsia" w:cstheme="majorEastAsia"/>
                <w:snapToGrid w:val="0"/>
              </w:rPr>
              <w:t>重庆市南岸区江南大道2号重庆国际会议展览中心会议中心5楼</w:t>
            </w:r>
          </w:p>
          <w:p w14:paraId="5C4BC8B3">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联系人：</w:t>
            </w:r>
            <w:r>
              <w:rPr>
                <w:rFonts w:hint="eastAsia" w:asciiTheme="majorEastAsia" w:hAnsiTheme="majorEastAsia" w:eastAsiaTheme="majorEastAsia" w:cstheme="majorEastAsia"/>
                <w:snapToGrid w:val="0"/>
              </w:rPr>
              <w:t>王先生</w:t>
            </w:r>
          </w:p>
          <w:p w14:paraId="771233F7">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联系电话：023-67872233</w:t>
            </w:r>
          </w:p>
        </w:tc>
      </w:tr>
      <w:tr w14:paraId="0D2F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2DC9EB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1.1.3</w:t>
            </w:r>
          </w:p>
        </w:tc>
        <w:tc>
          <w:tcPr>
            <w:tcW w:w="1506" w:type="dxa"/>
            <w:vAlign w:val="center"/>
          </w:tcPr>
          <w:p w14:paraId="0884E151">
            <w:pPr>
              <w:snapToGrid w:val="0"/>
              <w:spacing w:line="400" w:lineRule="exact"/>
              <w:jc w:val="center"/>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比选代理机构</w:t>
            </w:r>
          </w:p>
        </w:tc>
        <w:tc>
          <w:tcPr>
            <w:tcW w:w="7215" w:type="dxa"/>
            <w:vAlign w:val="center"/>
          </w:tcPr>
          <w:p w14:paraId="40C6C70B">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比选代理机构：</w:t>
            </w:r>
            <w:r>
              <w:rPr>
                <w:rFonts w:hint="eastAsia" w:asciiTheme="majorEastAsia" w:hAnsiTheme="majorEastAsia" w:eastAsiaTheme="majorEastAsia" w:cstheme="majorEastAsia"/>
                <w:snapToGrid w:val="0"/>
              </w:rPr>
              <w:t>重庆国际投资咨询集团有限公司</w:t>
            </w:r>
          </w:p>
          <w:p w14:paraId="650C9BC2">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地址：</w:t>
            </w:r>
            <w:r>
              <w:rPr>
                <w:rFonts w:hint="eastAsia" w:asciiTheme="majorEastAsia" w:hAnsiTheme="majorEastAsia" w:eastAsiaTheme="majorEastAsia" w:cstheme="majorEastAsia"/>
                <w:snapToGrid w:val="0"/>
              </w:rPr>
              <w:t>重庆市江北区五简路2号重庆咨询大厦</w:t>
            </w:r>
          </w:p>
          <w:p w14:paraId="314C04A7">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联系人：</w:t>
            </w:r>
            <w:r>
              <w:rPr>
                <w:rFonts w:hint="eastAsia" w:asciiTheme="majorEastAsia" w:hAnsiTheme="majorEastAsia" w:eastAsiaTheme="majorEastAsia" w:cstheme="majorEastAsia"/>
                <w:snapToGrid w:val="0"/>
              </w:rPr>
              <w:t>刘先生、玉先生</w:t>
            </w:r>
          </w:p>
          <w:p w14:paraId="48916D42">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联系电话：023-67700823</w:t>
            </w:r>
          </w:p>
        </w:tc>
      </w:tr>
      <w:tr w14:paraId="10AD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5657B3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1.1.4</w:t>
            </w:r>
          </w:p>
        </w:tc>
        <w:tc>
          <w:tcPr>
            <w:tcW w:w="1506" w:type="dxa"/>
            <w:vAlign w:val="center"/>
          </w:tcPr>
          <w:p w14:paraId="432FFD8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项目名称</w:t>
            </w:r>
          </w:p>
        </w:tc>
        <w:tc>
          <w:tcPr>
            <w:tcW w:w="7215" w:type="dxa"/>
            <w:vAlign w:val="center"/>
          </w:tcPr>
          <w:p w14:paraId="6FD559E1">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asciiTheme="majorEastAsia" w:hAnsiTheme="majorEastAsia" w:eastAsiaTheme="majorEastAsia" w:cstheme="majorEastAsia"/>
                <w:snapToGrid w:val="0"/>
                <w:kern w:val="0"/>
                <w:szCs w:val="21"/>
              </w:rPr>
              <w:t>城南家园电梯维修包干服务</w:t>
            </w:r>
          </w:p>
        </w:tc>
      </w:tr>
      <w:tr w14:paraId="2603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290AD152">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1.1.5</w:t>
            </w:r>
          </w:p>
        </w:tc>
        <w:tc>
          <w:tcPr>
            <w:tcW w:w="1506" w:type="dxa"/>
            <w:vAlign w:val="center"/>
          </w:tcPr>
          <w:p w14:paraId="57D0BB4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项目服务地点</w:t>
            </w:r>
          </w:p>
        </w:tc>
        <w:tc>
          <w:tcPr>
            <w:tcW w:w="7215" w:type="dxa"/>
            <w:vAlign w:val="center"/>
          </w:tcPr>
          <w:p w14:paraId="611A68CB">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重庆市</w:t>
            </w:r>
            <w:r>
              <w:fldChar w:fldCharType="begin"/>
            </w:r>
            <w:r>
              <w:instrText xml:space="preserve"> HYPERLINK "https://baike.baidu.com/item/%E5%8D%97%E5%B2%B8%E5%8C%BA/2531300?fromModule=lemma_inlink" \t "_blank" </w:instrText>
            </w:r>
            <w:r>
              <w:fldChar w:fldCharType="separate"/>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t>南岸区</w:t>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fldChar w:fldCharType="end"/>
            </w:r>
            <w:r>
              <w:rPr>
                <w:rFonts w:asciiTheme="majorEastAsia" w:hAnsiTheme="majorEastAsia" w:eastAsiaTheme="majorEastAsia" w:cstheme="majorEastAsia"/>
                <w:snapToGrid w:val="0"/>
                <w:color w:val="000000" w:themeColor="text1"/>
                <w:kern w:val="0"/>
                <w:szCs w:val="21"/>
                <w14:textFill>
                  <w14:solidFill>
                    <w14:schemeClr w14:val="tx1"/>
                  </w14:solidFill>
                </w14:textFill>
              </w:rPr>
              <w:t>茶园新城</w:t>
            </w:r>
            <w:r>
              <w:fldChar w:fldCharType="begin"/>
            </w:r>
            <w:r>
              <w:instrText xml:space="preserve"> HYPERLINK "https://baike.baidu.com/item/%E5%A4%A9%E6%96%87%E8%A1%97%E9%81%93/18866573?fromModule=lemma_inlink" \t "_blank" </w:instrText>
            </w:r>
            <w:r>
              <w:fldChar w:fldCharType="separate"/>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t>天文街道</w:t>
            </w:r>
            <w:r>
              <w:rPr>
                <w:rStyle w:val="61"/>
                <w:rFonts w:asciiTheme="majorEastAsia" w:hAnsiTheme="majorEastAsia" w:eastAsiaTheme="majorEastAsia" w:cstheme="majorEastAsia"/>
                <w:snapToGrid w:val="0"/>
                <w:color w:val="000000" w:themeColor="text1"/>
                <w:kern w:val="0"/>
                <w:szCs w:val="21"/>
                <w14:textFill>
                  <w14:solidFill>
                    <w14:schemeClr w14:val="tx1"/>
                  </w14:solidFill>
                </w14:textFill>
              </w:rPr>
              <w:fldChar w:fldCharType="end"/>
            </w:r>
            <w:r>
              <w:rPr>
                <w:rFonts w:asciiTheme="majorEastAsia" w:hAnsiTheme="majorEastAsia" w:eastAsiaTheme="majorEastAsia" w:cstheme="majorEastAsia"/>
                <w:snapToGrid w:val="0"/>
                <w:color w:val="000000" w:themeColor="text1"/>
                <w:kern w:val="0"/>
                <w:szCs w:val="21"/>
                <w14:textFill>
                  <w14:solidFill>
                    <w14:schemeClr w14:val="tx1"/>
                  </w14:solidFill>
                </w14:textFill>
              </w:rPr>
              <w:t>。</w:t>
            </w:r>
          </w:p>
        </w:tc>
      </w:tr>
      <w:tr w14:paraId="48C2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41AA400F">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1.1.6</w:t>
            </w:r>
          </w:p>
        </w:tc>
        <w:tc>
          <w:tcPr>
            <w:tcW w:w="1506" w:type="dxa"/>
            <w:vAlign w:val="center"/>
          </w:tcPr>
          <w:p w14:paraId="3A150B91">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概况</w:t>
            </w:r>
          </w:p>
        </w:tc>
        <w:tc>
          <w:tcPr>
            <w:tcW w:w="7215" w:type="dxa"/>
            <w:vAlign w:val="center"/>
          </w:tcPr>
          <w:p w14:paraId="5399AE6B">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asciiTheme="majorEastAsia" w:hAnsiTheme="majorEastAsia" w:eastAsiaTheme="majorEastAsia" w:cstheme="majorEastAsia"/>
                <w:snapToGrid w:val="0"/>
                <w:kern w:val="0"/>
                <w:szCs w:val="21"/>
              </w:rPr>
              <w:t>城南家园公租房位于南岸区茶园新城天文街道，是重庆市最大的公租房建设项目，于2010年9月开工建设，2012年8月陆续竣工投用，项目占地约723亩，为24-32层的高层电梯房小区，设8个组团，共85幢，建筑面积约199万平方米，约3.2万套住宅，现小区1-6组团有180台住宅电梯需要委托开展包干维修工作。</w:t>
            </w:r>
          </w:p>
          <w:p w14:paraId="4BD61FF8">
            <w:pPr>
              <w:tabs>
                <w:tab w:val="left" w:pos="3045"/>
                <w:tab w:val="left" w:pos="8310"/>
              </w:tabs>
              <w:autoSpaceDE w:val="0"/>
              <w:autoSpaceDN w:val="0"/>
              <w:adjustRightInd w:val="0"/>
              <w:snapToGrid w:val="0"/>
              <w:spacing w:line="400" w:lineRule="exact"/>
              <w:ind w:firstLine="422"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b/>
                <w:szCs w:val="21"/>
              </w:rPr>
              <w:t>注：各比选申请单位需自行踏勘现场，了解服务范围及内容，并将其充分考虑在报价中。</w:t>
            </w:r>
          </w:p>
        </w:tc>
      </w:tr>
      <w:tr w14:paraId="7370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583D2AB3">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1.1.7</w:t>
            </w:r>
          </w:p>
        </w:tc>
        <w:tc>
          <w:tcPr>
            <w:tcW w:w="1506" w:type="dxa"/>
            <w:vAlign w:val="center"/>
          </w:tcPr>
          <w:p w14:paraId="451CEB35">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合同估</w:t>
            </w:r>
            <w:r>
              <w:rPr>
                <w:rFonts w:hint="eastAsia" w:asciiTheme="majorEastAsia" w:hAnsiTheme="majorEastAsia" w:eastAsiaTheme="majorEastAsia" w:cstheme="majorEastAsia"/>
                <w:kern w:val="0"/>
                <w:szCs w:val="21"/>
              </w:rPr>
              <w:t>算金额</w:t>
            </w:r>
          </w:p>
        </w:tc>
        <w:tc>
          <w:tcPr>
            <w:tcW w:w="7215" w:type="dxa"/>
            <w:vAlign w:val="center"/>
          </w:tcPr>
          <w:p w14:paraId="7670BE99">
            <w:pPr>
              <w:tabs>
                <w:tab w:val="left" w:pos="8520"/>
              </w:tabs>
              <w:autoSpaceDE w:val="0"/>
              <w:autoSpaceDN w:val="0"/>
              <w:adjustRightInd w:val="0"/>
              <w:snapToGrid w:val="0"/>
              <w:spacing w:line="400" w:lineRule="exact"/>
              <w:ind w:firstLine="420" w:firstLineChars="200"/>
              <w:jc w:val="left"/>
            </w:pPr>
            <w:r>
              <w:rPr>
                <w:rFonts w:hint="eastAsia" w:asciiTheme="majorEastAsia" w:hAnsiTheme="majorEastAsia" w:eastAsiaTheme="majorEastAsia" w:cstheme="majorEastAsia"/>
                <w:bCs/>
                <w:szCs w:val="21"/>
                <w:u w:val="single"/>
              </w:rPr>
              <w:t>3564000.00</w:t>
            </w:r>
            <w:r>
              <w:rPr>
                <w:rFonts w:hint="eastAsia" w:asciiTheme="majorEastAsia" w:hAnsiTheme="majorEastAsia" w:eastAsiaTheme="majorEastAsia" w:cstheme="majorEastAsia"/>
                <w:szCs w:val="21"/>
              </w:rPr>
              <w:t>元。</w:t>
            </w:r>
          </w:p>
        </w:tc>
      </w:tr>
      <w:tr w14:paraId="76F2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BE7A4F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1.2.1</w:t>
            </w:r>
          </w:p>
        </w:tc>
        <w:tc>
          <w:tcPr>
            <w:tcW w:w="1506" w:type="dxa"/>
            <w:vAlign w:val="center"/>
          </w:tcPr>
          <w:p w14:paraId="0D32C6E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资金来源</w:t>
            </w:r>
          </w:p>
        </w:tc>
        <w:tc>
          <w:tcPr>
            <w:tcW w:w="7215" w:type="dxa"/>
            <w:vAlign w:val="center"/>
          </w:tcPr>
          <w:p w14:paraId="748A3E53">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企业自筹</w:t>
            </w:r>
          </w:p>
        </w:tc>
      </w:tr>
      <w:tr w14:paraId="568A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CB3775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1.2.2</w:t>
            </w:r>
          </w:p>
        </w:tc>
        <w:tc>
          <w:tcPr>
            <w:tcW w:w="1506" w:type="dxa"/>
            <w:vAlign w:val="center"/>
          </w:tcPr>
          <w:p w14:paraId="4F427CA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出资比例</w:t>
            </w:r>
          </w:p>
        </w:tc>
        <w:tc>
          <w:tcPr>
            <w:tcW w:w="7215" w:type="dxa"/>
            <w:vAlign w:val="center"/>
          </w:tcPr>
          <w:p w14:paraId="5FCF84CB">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100%</w:t>
            </w:r>
          </w:p>
        </w:tc>
      </w:tr>
      <w:tr w14:paraId="6C5D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A45258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1.2.3</w:t>
            </w:r>
          </w:p>
        </w:tc>
        <w:tc>
          <w:tcPr>
            <w:tcW w:w="1506" w:type="dxa"/>
            <w:vAlign w:val="center"/>
          </w:tcPr>
          <w:p w14:paraId="4A528D89">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资金落实情况</w:t>
            </w:r>
          </w:p>
        </w:tc>
        <w:tc>
          <w:tcPr>
            <w:tcW w:w="7215" w:type="dxa"/>
            <w:vAlign w:val="center"/>
          </w:tcPr>
          <w:p w14:paraId="38AC4DD0">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已落实</w:t>
            </w:r>
          </w:p>
        </w:tc>
      </w:tr>
      <w:tr w14:paraId="0047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5EF7B28">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1.3.1</w:t>
            </w:r>
          </w:p>
        </w:tc>
        <w:tc>
          <w:tcPr>
            <w:tcW w:w="1506" w:type="dxa"/>
            <w:vAlign w:val="center"/>
          </w:tcPr>
          <w:p w14:paraId="4D7E391E">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szCs w:val="21"/>
              </w:rPr>
              <w:t>比选</w:t>
            </w:r>
            <w:r>
              <w:rPr>
                <w:rFonts w:hint="eastAsia" w:asciiTheme="majorEastAsia" w:hAnsiTheme="majorEastAsia" w:eastAsiaTheme="majorEastAsia" w:cstheme="majorEastAsia"/>
                <w:kern w:val="0"/>
                <w:szCs w:val="21"/>
              </w:rPr>
              <w:t>范围</w:t>
            </w:r>
          </w:p>
        </w:tc>
        <w:tc>
          <w:tcPr>
            <w:tcW w:w="7215" w:type="dxa"/>
            <w:vAlign w:val="center"/>
          </w:tcPr>
          <w:p w14:paraId="4E286540">
            <w:pPr>
              <w:widowControl/>
              <w:snapToGrid w:val="0"/>
              <w:spacing w:line="400" w:lineRule="exact"/>
              <w:ind w:firstLine="555"/>
              <w:jc w:val="left"/>
              <w:rPr>
                <w:rFonts w:asciiTheme="majorEastAsia" w:hAnsiTheme="majorEastAsia" w:eastAsiaTheme="majorEastAsia" w:cstheme="majorEastAsia"/>
                <w:szCs w:val="21"/>
              </w:rPr>
            </w:pPr>
            <w:r>
              <w:rPr>
                <w:rFonts w:asciiTheme="majorEastAsia" w:hAnsiTheme="majorEastAsia" w:eastAsiaTheme="majorEastAsia" w:cstheme="majorEastAsia"/>
                <w:szCs w:val="21"/>
              </w:rPr>
              <w:t>采购一家有电梯维修维保资质的单位负责对城南家园住宅部分电梯进行</w:t>
            </w:r>
            <w:r>
              <w:rPr>
                <w:rFonts w:hint="eastAsia" w:asciiTheme="majorEastAsia" w:hAnsiTheme="majorEastAsia" w:eastAsiaTheme="majorEastAsia" w:cstheme="majorEastAsia"/>
                <w:szCs w:val="21"/>
              </w:rPr>
              <w:t>维修包干服务</w:t>
            </w:r>
            <w:r>
              <w:rPr>
                <w:rFonts w:asciiTheme="majorEastAsia" w:hAnsiTheme="majorEastAsia" w:eastAsiaTheme="majorEastAsia" w:cstheme="majorEastAsia"/>
                <w:szCs w:val="21"/>
              </w:rPr>
              <w:t>。承担电梯正常运行发生故障或损坏（因不可抗力或自然灾害等原因造成电梯故障或损坏，为非正常故障或损坏，其余情况均为电梯正常运行发生的故障或损坏）后，所需维修或更换的零配件材料费、运输费、人工费等所有费用，并完成维修服务。</w:t>
            </w:r>
          </w:p>
          <w:p w14:paraId="2D1218B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bCs/>
                <w:szCs w:val="21"/>
              </w:rPr>
              <w:t>电梯包干维修即比选人提供定额维修包干费用，比选申请人按照《电梯施工类别划分表（修订版）》国质检特〔2019〕64号规定，负责提供除安装和改造以外的所有电梯修理劳务服务，包含材料、人工、运输等所有费用，同时比选申请人负责按照本项目比选文件要求，服务期内每年为维修范围内的电梯购买公众责任险保险。若服务期内，国家对电梯施工类别划分有新的修订和调整的，按照最新的标准和规定执行。</w:t>
            </w:r>
          </w:p>
          <w:p w14:paraId="5D8071B1">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各比选申请人在比选申请截止时间前可自行与小区物业管理公司对接，对标的物进行现场查看，知晓标的物工况。无论比选申请人是否查看标的物，均视为比选申请人对标的物工况完全了解。</w:t>
            </w:r>
          </w:p>
          <w:p w14:paraId="1EAA75D5">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（1）包干维修包括的主要内容（不仅限于以下内容）：</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6032"/>
            </w:tblGrid>
            <w:tr w14:paraId="269F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85" w:type="pct"/>
                  <w:vAlign w:val="center"/>
                </w:tcPr>
                <w:p w14:paraId="5A27CFB2">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位置</w:t>
                  </w:r>
                </w:p>
              </w:tc>
              <w:tc>
                <w:tcPr>
                  <w:tcW w:w="4315" w:type="pct"/>
                  <w:vAlign w:val="center"/>
                </w:tcPr>
                <w:p w14:paraId="09C17F53">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包干维修主要零部件</w:t>
                  </w:r>
                </w:p>
              </w:tc>
            </w:tr>
            <w:tr w14:paraId="545C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85" w:type="pct"/>
                  <w:vAlign w:val="center"/>
                </w:tcPr>
                <w:p w14:paraId="50E5A22B">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机房</w:t>
                  </w:r>
                </w:p>
              </w:tc>
              <w:tc>
                <w:tcPr>
                  <w:tcW w:w="4315" w:type="pct"/>
                  <w:vAlign w:val="center"/>
                </w:tcPr>
                <w:p w14:paraId="1D926C09">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曳引机及组件、旋转编码器、控制柜及元器件、承重梁、导向轮、电源开关箱、限速器、急停开关、绳头组合、绳头板、轿厢上行超速保护装置等。 </w:t>
                  </w:r>
                </w:p>
              </w:tc>
            </w:tr>
            <w:tr w14:paraId="146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85" w:type="pct"/>
                  <w:vAlign w:val="center"/>
                </w:tcPr>
                <w:p w14:paraId="22441A5B">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井道</w:t>
                  </w:r>
                </w:p>
              </w:tc>
              <w:tc>
                <w:tcPr>
                  <w:tcW w:w="4315" w:type="pct"/>
                  <w:vAlign w:val="center"/>
                </w:tcPr>
                <w:p w14:paraId="2936F97B">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导轨、对重导轨、导轨支架、接导板、线槽、对重装置、曳引钢丝绳、限速器钢丝绳、换速、平层感应装置、限速器钢丝绳涨紧装置、随行电缆、电缆支架、缓冲器、补偿装置、轿厢、中间接线盒、底坑检修箱、安全保护装置等。</w:t>
                  </w:r>
                </w:p>
              </w:tc>
            </w:tr>
            <w:tr w14:paraId="45D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685" w:type="pct"/>
                  <w:vAlign w:val="center"/>
                </w:tcPr>
                <w:p w14:paraId="5F250F77">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w:t>
                  </w:r>
                </w:p>
              </w:tc>
              <w:tc>
                <w:tcPr>
                  <w:tcW w:w="4315" w:type="pct"/>
                  <w:vAlign w:val="center"/>
                </w:tcPr>
                <w:p w14:paraId="3598CA55">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顶轮、轿架、轿底、轿壁、轿顶、轿门、门机、轿厢内地板、防夹保护装置、操纵箱、轿顶检修箱、照明装置、平层感应器、护脚板、导靴、安全钳、配重块、导轨润滑油杯、急停开关、安全窗、超载保护装置、紧急报警装置等。</w:t>
                  </w:r>
                </w:p>
              </w:tc>
            </w:tr>
            <w:tr w14:paraId="1F36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85" w:type="pct"/>
                  <w:vAlign w:val="center"/>
                </w:tcPr>
                <w:p w14:paraId="4165CCE9">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层站</w:t>
                  </w:r>
                </w:p>
              </w:tc>
              <w:tc>
                <w:tcPr>
                  <w:tcW w:w="4315" w:type="pct"/>
                  <w:vAlign w:val="center"/>
                </w:tcPr>
                <w:p w14:paraId="1D498BDA">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层楼显示器、层门装置、手动钥匙开关、层门、门锁、门套、层、轿门地坎、呼梯装置等。</w:t>
                  </w:r>
                </w:p>
              </w:tc>
            </w:tr>
          </w:tbl>
          <w:p w14:paraId="249AC722">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（2）不属于公租房电梯包干维修内容</w:t>
            </w:r>
          </w:p>
          <w:p w14:paraId="017814F4">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①非电梯本身的零部件及设备损坏，即业主提供的主电源开关，断路器，井道的土建结构，机房通风设备，用于地坑的抽水设备等。</w:t>
            </w:r>
          </w:p>
          <w:p w14:paraId="05530C2A">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②自然灾害、不可抗力等其他原因造成的设备的损坏。</w:t>
            </w:r>
          </w:p>
          <w:p w14:paraId="0EE720FD">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③因零部件老化或使用年限太长，维修和改造无法恢复使用需要整体更新的电梯。</w:t>
            </w:r>
          </w:p>
          <w:p w14:paraId="122F2F55">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④《电梯施工类别划分表（修订版）》国质检特〔2019〕64号规定的安装和改造内容。（若国家对电梯施工类别划分有新的修订和调整的，按照最新规定的安装和改造内容执行）。详见下表：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5949"/>
            </w:tblGrid>
            <w:tr w14:paraId="45DB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tcBorders>
                    <w:top w:val="single" w:color="auto" w:sz="4" w:space="0"/>
                    <w:left w:val="single" w:color="auto" w:sz="4" w:space="0"/>
                    <w:bottom w:val="single" w:color="auto" w:sz="4" w:space="0"/>
                    <w:right w:val="single" w:color="auto" w:sz="4" w:space="0"/>
                  </w:tcBorders>
                  <w:vAlign w:val="center"/>
                </w:tcPr>
                <w:p w14:paraId="5802F157">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安装</w:t>
                  </w:r>
                </w:p>
              </w:tc>
              <w:tc>
                <w:tcPr>
                  <w:tcW w:w="4256" w:type="pct"/>
                  <w:tcBorders>
                    <w:top w:val="single" w:color="auto" w:sz="4" w:space="0"/>
                    <w:left w:val="single" w:color="auto" w:sz="4" w:space="0"/>
                    <w:bottom w:val="single" w:color="auto" w:sz="4" w:space="0"/>
                    <w:right w:val="single" w:color="auto" w:sz="4" w:space="0"/>
                  </w:tcBorders>
                  <w:vAlign w:val="center"/>
                </w:tcPr>
                <w:p w14:paraId="26150D72">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采用组装、固定、调试等一系列作业方法，将电梯部件组合为具有使用价值的电梯整机的活动；包括移装。</w:t>
                  </w:r>
                </w:p>
              </w:tc>
            </w:tr>
            <w:tr w14:paraId="1F0E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vAlign w:val="center"/>
                </w:tcPr>
                <w:p w14:paraId="0AA12B3E">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改造</w:t>
                  </w:r>
                </w:p>
              </w:tc>
              <w:tc>
                <w:tcPr>
                  <w:tcW w:w="4256" w:type="pct"/>
                  <w:vAlign w:val="center"/>
                </w:tcPr>
                <w:p w14:paraId="32F389B9">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改变电梯的额定（名义）速度、额定载重量、提升高度、轿厢自重（制造单位明确的预留装饰重量或累计增加/减少质量不超过额定载重量的5%除外）、防爆等级、驱动方式、悬挂方式、调速方式或控制方式。（注1）</w:t>
                  </w:r>
                </w:p>
                <w:p w14:paraId="0DD1C5F3">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b.改变轿门的类型、增加或减少轿门。</w:t>
                  </w:r>
                </w:p>
                <w:p w14:paraId="1F183136">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c.改变轿架受力结构、更换轿架或更换无轿架式轿厢。</w:t>
                  </w:r>
                </w:p>
                <w:p w14:paraId="72BB318C">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注：</w:t>
                  </w:r>
                </w:p>
                <w:p w14:paraId="439C0770">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改变电梯的调速方式是指：如将乘客或载货电梯的交流变极调速系统改变为交流变频变压调速系统；或者改变自动扶梯与自动人行道的调速系统，使其由连续运行型改变为间歇运行型等。</w:t>
                  </w:r>
                </w:p>
                <w:p w14:paraId="40A1A021">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控制方式是指：为响应来自操作装置的信号而对电梯的启动、停止和运行方向进行控制的方式，例如：按钮控制、信号控制以及集选控制（含单台集选控制、两台并联控制和多台群组控制）等。</w:t>
                  </w:r>
                </w:p>
              </w:tc>
            </w:tr>
          </w:tbl>
          <w:p w14:paraId="2052206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2、根据重庆市公租局</w:t>
            </w:r>
            <w:r>
              <w:rPr>
                <w:rFonts w:asciiTheme="majorEastAsia" w:hAnsiTheme="majorEastAsia" w:eastAsiaTheme="majorEastAsia" w:cstheme="majorEastAsia"/>
                <w:bCs/>
                <w:szCs w:val="21"/>
              </w:rPr>
              <w:t>《关于进一步明确市级公租房小区电梯日常保养和</w:t>
            </w:r>
            <w:r>
              <w:rPr>
                <w:rFonts w:hint="eastAsia" w:asciiTheme="majorEastAsia" w:hAnsiTheme="majorEastAsia" w:eastAsiaTheme="majorEastAsia" w:cstheme="majorEastAsia"/>
                <w:bCs/>
                <w:szCs w:val="21"/>
              </w:rPr>
              <w:t>维修</w:t>
            </w:r>
            <w:r>
              <w:rPr>
                <w:rFonts w:asciiTheme="majorEastAsia" w:hAnsiTheme="majorEastAsia" w:eastAsiaTheme="majorEastAsia" w:cstheme="majorEastAsia"/>
                <w:bCs/>
                <w:szCs w:val="21"/>
              </w:rPr>
              <w:t>包干服务相关工作的通知》（渝公租房【2024】25号）</w:t>
            </w:r>
            <w:r>
              <w:rPr>
                <w:rFonts w:hint="eastAsia" w:asciiTheme="majorEastAsia" w:hAnsiTheme="majorEastAsia" w:eastAsiaTheme="majorEastAsia" w:cstheme="majorEastAsia"/>
                <w:bCs/>
                <w:szCs w:val="21"/>
              </w:rPr>
              <w:t>文件，</w:t>
            </w:r>
            <w:r>
              <w:rPr>
                <w:rFonts w:asciiTheme="majorEastAsia" w:hAnsiTheme="majorEastAsia" w:eastAsiaTheme="majorEastAsia" w:cstheme="majorEastAsia"/>
                <w:bCs/>
                <w:szCs w:val="21"/>
              </w:rPr>
              <w:t>为及时开展小区电梯日常维修，确保维保质量，保障电梯安全运行，提高电梯管理服务水平，电梯包干维修中</w:t>
            </w:r>
            <w:r>
              <w:rPr>
                <w:rFonts w:hint="eastAsia" w:asciiTheme="majorEastAsia" w:hAnsiTheme="majorEastAsia" w:eastAsiaTheme="majorEastAsia" w:cstheme="majorEastAsia"/>
                <w:bCs/>
                <w:szCs w:val="21"/>
              </w:rPr>
              <w:t>标</w:t>
            </w:r>
            <w:r>
              <w:rPr>
                <w:rFonts w:asciiTheme="majorEastAsia" w:hAnsiTheme="majorEastAsia" w:eastAsiaTheme="majorEastAsia" w:cstheme="majorEastAsia"/>
                <w:bCs/>
                <w:szCs w:val="21"/>
              </w:rPr>
              <w:t>人自动获得电梯日常保养合同签约资格</w:t>
            </w:r>
            <w:r>
              <w:rPr>
                <w:rFonts w:hint="eastAsia" w:asciiTheme="majorEastAsia" w:hAnsiTheme="majorEastAsia" w:eastAsiaTheme="majorEastAsia" w:cstheme="majorEastAsia"/>
                <w:bCs/>
                <w:szCs w:val="21"/>
              </w:rPr>
              <w:t>，并根据《中华人民共和国民法典》《特种设备安全法》《重庆市电梯安全管理办法》有关规定，签订招标人（比选人）、物业公司、电梯企业三方服务合同。其中：电梯日常维保价格最高限价为350元/(台·月)，最终价格根据电梯日常维修包干服务招标实际中标（中选）价格同比例进行下浮，即：日常包干维修中标价格÷日常包干维修最高限价×350元，且此项费用不包含在包干维修费内，比选申请人不进行单独报价</w:t>
            </w:r>
            <w:r>
              <w:rPr>
                <w:rFonts w:asciiTheme="majorEastAsia" w:hAnsiTheme="majorEastAsia" w:eastAsiaTheme="majorEastAsia" w:cstheme="majorEastAsia"/>
                <w:bCs/>
                <w:szCs w:val="21"/>
              </w:rPr>
              <w:t>。</w:t>
            </w:r>
          </w:p>
          <w:p w14:paraId="1C322119">
            <w:pPr>
              <w:tabs>
                <w:tab w:val="left" w:pos="747"/>
              </w:tabs>
              <w:spacing w:line="400" w:lineRule="exact"/>
              <w:ind w:firstLine="420"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bCs/>
                <w:szCs w:val="21"/>
              </w:rPr>
              <w:t>招标（比选）工作结束后，</w:t>
            </w:r>
            <w:r>
              <w:rPr>
                <w:rFonts w:asciiTheme="majorEastAsia" w:hAnsiTheme="majorEastAsia" w:eastAsiaTheme="majorEastAsia" w:cstheme="majorEastAsia"/>
                <w:bCs/>
                <w:szCs w:val="21"/>
              </w:rPr>
              <w:t>由招标人（比选）、小区物业企业和</w:t>
            </w:r>
            <w:r>
              <w:rPr>
                <w:rFonts w:hint="eastAsia" w:asciiTheme="majorEastAsia" w:hAnsiTheme="majorEastAsia" w:eastAsiaTheme="majorEastAsia" w:cstheme="majorEastAsia"/>
                <w:bCs/>
                <w:szCs w:val="21"/>
              </w:rPr>
              <w:t>包干维修</w:t>
            </w:r>
            <w:r>
              <w:rPr>
                <w:rFonts w:asciiTheme="majorEastAsia" w:hAnsiTheme="majorEastAsia" w:eastAsiaTheme="majorEastAsia" w:cstheme="majorEastAsia"/>
                <w:bCs/>
                <w:szCs w:val="21"/>
              </w:rPr>
              <w:t>中标人签订电梯日常维保+包干维修组合合同。</w:t>
            </w:r>
          </w:p>
        </w:tc>
      </w:tr>
      <w:tr w14:paraId="37A3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38937A8">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1.3.2</w:t>
            </w:r>
          </w:p>
        </w:tc>
        <w:tc>
          <w:tcPr>
            <w:tcW w:w="1506" w:type="dxa"/>
            <w:vAlign w:val="center"/>
          </w:tcPr>
          <w:p w14:paraId="5572222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服务期限</w:t>
            </w:r>
          </w:p>
        </w:tc>
        <w:tc>
          <w:tcPr>
            <w:tcW w:w="7215" w:type="dxa"/>
            <w:vAlign w:val="center"/>
          </w:tcPr>
          <w:p w14:paraId="691CBD04">
            <w:pPr>
              <w:tabs>
                <w:tab w:val="left" w:pos="747"/>
              </w:tabs>
              <w:spacing w:line="400" w:lineRule="exact"/>
              <w:ind w:firstLine="420"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本次比选的电梯日常保养与维修服务期暂定三年，若因小区电梯更新，对应电梯的日常保养与维修服务期需要提前终止的，以比选人的书面通知为准，并按已服务的月份数量进行结算。合同一年一签。</w:t>
            </w:r>
          </w:p>
        </w:tc>
      </w:tr>
      <w:tr w14:paraId="6DE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95F7A63">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1.3.3</w:t>
            </w:r>
          </w:p>
        </w:tc>
        <w:tc>
          <w:tcPr>
            <w:tcW w:w="1506" w:type="dxa"/>
            <w:vAlign w:val="center"/>
          </w:tcPr>
          <w:p w14:paraId="530F9943">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质量要求</w:t>
            </w:r>
          </w:p>
        </w:tc>
        <w:tc>
          <w:tcPr>
            <w:tcW w:w="7215" w:type="dxa"/>
            <w:vAlign w:val="center"/>
          </w:tcPr>
          <w:p w14:paraId="7F6E51F9">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u w:val="single"/>
              </w:rPr>
            </w:pPr>
            <w:r>
              <w:rPr>
                <w:rFonts w:hint="eastAsia" w:asciiTheme="majorEastAsia" w:hAnsiTheme="majorEastAsia" w:eastAsiaTheme="majorEastAsia" w:cstheme="majorEastAsia"/>
                <w:szCs w:val="21"/>
              </w:rPr>
              <w:t>满足现行国家标准、行业标准、重庆市相关规范、标准，并满足比选人的相关规定。</w:t>
            </w:r>
          </w:p>
        </w:tc>
      </w:tr>
      <w:tr w14:paraId="5C80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F61E22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1.4.1</w:t>
            </w:r>
          </w:p>
        </w:tc>
        <w:tc>
          <w:tcPr>
            <w:tcW w:w="1506" w:type="dxa"/>
            <w:vAlign w:val="center"/>
          </w:tcPr>
          <w:p w14:paraId="5CA8DB4F">
            <w:pPr>
              <w:snapToGrid w:val="0"/>
              <w:spacing w:line="400" w:lineRule="exact"/>
              <w:jc w:val="center"/>
              <w:rPr>
                <w:rFonts w:asciiTheme="majorEastAsia" w:hAnsiTheme="majorEastAsia" w:eastAsiaTheme="majorEastAsia" w:cstheme="majorEastAsia"/>
                <w:kern w:val="0"/>
                <w:szCs w:val="21"/>
              </w:rPr>
            </w:pPr>
            <w:bookmarkStart w:id="30" w:name="OLE_LINK116"/>
            <w:bookmarkStart w:id="31" w:name="OLE_LINK117"/>
            <w:bookmarkStart w:id="32" w:name="OLE_LINK115"/>
            <w:r>
              <w:rPr>
                <w:rFonts w:hint="eastAsia" w:asciiTheme="majorEastAsia" w:hAnsiTheme="majorEastAsia" w:eastAsiaTheme="majorEastAsia" w:cstheme="majorEastAsia"/>
                <w:kern w:val="0"/>
                <w:szCs w:val="21"/>
              </w:rPr>
              <w:t>比选申请人资质条件、能力和信誉</w:t>
            </w:r>
            <w:bookmarkEnd w:id="30"/>
            <w:bookmarkEnd w:id="31"/>
            <w:bookmarkEnd w:id="32"/>
          </w:p>
        </w:tc>
        <w:tc>
          <w:tcPr>
            <w:tcW w:w="7215" w:type="dxa"/>
            <w:vAlign w:val="center"/>
          </w:tcPr>
          <w:p w14:paraId="40237F87">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本比选项目实行资格后审，比选申请人应具备以下资格条件：</w:t>
            </w:r>
          </w:p>
          <w:p w14:paraId="0D19167F">
            <w:pPr>
              <w:spacing w:line="400" w:lineRule="exact"/>
              <w:ind w:firstLine="422"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b/>
                <w:bCs/>
              </w:rPr>
              <w:t>一、资质要求：</w:t>
            </w:r>
          </w:p>
          <w:p w14:paraId="751D268A">
            <w:pPr>
              <w:spacing w:line="400" w:lineRule="exact"/>
              <w:ind w:firstLine="420" w:firstLineChars="200"/>
              <w:contextualSpacing/>
              <w:rPr>
                <w:rFonts w:asciiTheme="majorEastAsia" w:hAnsiTheme="majorEastAsia" w:eastAsiaTheme="majorEastAsia" w:cstheme="majorEastAsia"/>
              </w:rPr>
            </w:pPr>
            <w:r>
              <w:rPr>
                <w:rFonts w:asciiTheme="majorEastAsia" w:hAnsiTheme="majorEastAsia" w:eastAsiaTheme="majorEastAsia" w:cstheme="majorEastAsia"/>
              </w:rPr>
              <w:t>1.比选申请人须具有合法有效的营业执照。</w:t>
            </w:r>
          </w:p>
          <w:p w14:paraId="3CBC6F74">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提供营业执照复印件加盖比选申请人单位公章。</w:t>
            </w:r>
            <w:r>
              <w:rPr>
                <w:rFonts w:hint="eastAsia" w:ascii="宋体" w:hAnsi="宋体"/>
                <w:szCs w:val="21"/>
              </w:rPr>
              <w:t>注：不得将营业执照记载的经营范围作为评审因素。</w:t>
            </w:r>
          </w:p>
          <w:p w14:paraId="53E89D32">
            <w:pPr>
              <w:spacing w:line="400" w:lineRule="exact"/>
              <w:ind w:firstLine="420" w:firstLineChars="200"/>
              <w:contextualSpacing/>
              <w:rPr>
                <w:rFonts w:asciiTheme="majorEastAsia" w:hAnsiTheme="majorEastAsia" w:eastAsiaTheme="majorEastAsia" w:cstheme="majorEastAsia"/>
              </w:rPr>
            </w:pPr>
            <w:r>
              <w:rPr>
                <w:rFonts w:asciiTheme="majorEastAsia" w:hAnsiTheme="majorEastAsia" w:eastAsiaTheme="majorEastAsia" w:cstheme="majorEastAsia"/>
              </w:rPr>
              <w:t>2.比选申请人须为一般纳税人。</w:t>
            </w:r>
          </w:p>
          <w:p w14:paraId="1836E623">
            <w:pPr>
              <w:pStyle w:val="19"/>
              <w:spacing w:line="400" w:lineRule="exact"/>
              <w:ind w:firstLine="420"/>
              <w:rPr>
                <w:rFonts w:asciiTheme="majorEastAsia" w:hAnsiTheme="majorEastAsia" w:eastAsiaTheme="majorEastAsia" w:cstheme="majorEastAsia"/>
              </w:rPr>
            </w:pPr>
            <w:r>
              <w:rPr>
                <w:rFonts w:hint="eastAsia" w:asciiTheme="majorEastAsia" w:hAnsiTheme="majorEastAsia" w:eastAsiaTheme="majorEastAsia" w:cstheme="majorEastAsia"/>
                <w:sz w:val="21"/>
              </w:rPr>
              <w:t>提供一般纳税人资格证明材料并加盖比选申请人单位公章。</w:t>
            </w:r>
          </w:p>
          <w:p w14:paraId="611F6788">
            <w:pPr>
              <w:spacing w:line="400" w:lineRule="exact"/>
              <w:ind w:firstLine="420" w:firstLineChars="200"/>
              <w:contextualSpacing/>
              <w:rPr>
                <w:rFonts w:asciiTheme="majorEastAsia" w:hAnsiTheme="majorEastAsia" w:eastAsiaTheme="majorEastAsia" w:cstheme="majorEastAsia"/>
                <w:szCs w:val="21"/>
              </w:rPr>
            </w:pPr>
            <w:r>
              <w:rPr>
                <w:rFonts w:asciiTheme="majorEastAsia" w:hAnsiTheme="majorEastAsia" w:eastAsiaTheme="majorEastAsia" w:cstheme="majorEastAsia"/>
              </w:rPr>
              <w:t>3.</w:t>
            </w:r>
            <w:r>
              <w:rPr>
                <w:rFonts w:hint="eastAsia" w:asciiTheme="majorEastAsia" w:hAnsiTheme="majorEastAsia" w:eastAsiaTheme="majorEastAsia" w:cstheme="majorEastAsia"/>
                <w:szCs w:val="21"/>
              </w:rPr>
              <w:t>比选申请人应满足以下资质要求：具有国家市场监督管理部门颁发的《中华人民共和国特种设备生产许可证》，其许可项目为“</w:t>
            </w:r>
            <w:r>
              <w:rPr>
                <w:rFonts w:hint="eastAsia" w:asciiTheme="majorEastAsia" w:hAnsiTheme="majorEastAsia" w:eastAsiaTheme="majorEastAsia" w:cstheme="majorEastAsia"/>
                <w:iCs/>
                <w:szCs w:val="21"/>
              </w:rPr>
              <w:t>电梯制造（含安装、修理、改造）</w:t>
            </w:r>
            <w:r>
              <w:rPr>
                <w:rFonts w:hint="eastAsia" w:asciiTheme="majorEastAsia" w:hAnsiTheme="majorEastAsia" w:eastAsiaTheme="majorEastAsia" w:cstheme="majorEastAsia"/>
                <w:szCs w:val="21"/>
              </w:rPr>
              <w:t>”或“电梯安装（含修理）”（乘客电梯）</w:t>
            </w:r>
            <w:r>
              <w:rPr>
                <w:rFonts w:hint="eastAsia" w:ascii="宋体" w:hAnsi="宋体" w:cs="宋体"/>
                <w:snapToGrid w:val="0"/>
                <w:kern w:val="0"/>
                <w:szCs w:val="21"/>
              </w:rPr>
              <w:t>B</w:t>
            </w:r>
            <w:r>
              <w:rPr>
                <w:rFonts w:ascii="宋体" w:hAnsi="宋体" w:cs="宋体"/>
                <w:snapToGrid w:val="0"/>
                <w:kern w:val="0"/>
                <w:szCs w:val="21"/>
              </w:rPr>
              <w:t>级</w:t>
            </w:r>
            <w:r>
              <w:rPr>
                <w:rFonts w:hint="eastAsia" w:ascii="宋体" w:hAnsi="宋体" w:cs="宋体"/>
                <w:snapToGrid w:val="0"/>
                <w:kern w:val="0"/>
                <w:szCs w:val="21"/>
              </w:rPr>
              <w:t>及以上资质</w:t>
            </w:r>
            <w:r>
              <w:rPr>
                <w:rFonts w:ascii="宋体" w:hAnsi="宋体" w:cs="宋体"/>
                <w:snapToGrid w:val="0"/>
                <w:kern w:val="0"/>
                <w:szCs w:val="21"/>
              </w:rPr>
              <w:t>。</w:t>
            </w:r>
            <w:r>
              <w:rPr>
                <w:rFonts w:hint="eastAsia" w:asciiTheme="majorEastAsia" w:hAnsiTheme="majorEastAsia" w:eastAsiaTheme="majorEastAsia" w:cstheme="majorEastAsia"/>
                <w:szCs w:val="21"/>
              </w:rPr>
              <w:t>特别说明：根据市场监管总局关于特种设备行政许可有关事项的公告〔2019年第3号〕文《特种设备生产单位许可目录》中注四：电梯许可参数级别的规定，乘客电梯许可参数级别如下：</w:t>
            </w:r>
          </w:p>
          <w:tbl>
            <w:tblPr>
              <w:tblStyle w:val="5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57" w:type="dxa"/>
                <w:left w:w="108" w:type="dxa"/>
                <w:bottom w:w="57" w:type="dxa"/>
                <w:right w:w="108" w:type="dxa"/>
              </w:tblCellMar>
            </w:tblPr>
            <w:tblGrid>
              <w:gridCol w:w="1831"/>
              <w:gridCol w:w="1030"/>
              <w:gridCol w:w="1372"/>
              <w:gridCol w:w="1029"/>
              <w:gridCol w:w="1717"/>
            </w:tblGrid>
            <w:tr w14:paraId="43CED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0" w:hRule="atLeast"/>
              </w:trPr>
              <w:tc>
                <w:tcPr>
                  <w:tcW w:w="1312" w:type="pct"/>
                  <w:vMerge w:val="restart"/>
                  <w:vAlign w:val="center"/>
                </w:tcPr>
                <w:p w14:paraId="7A9FEA8E">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设备类别</w:t>
                  </w:r>
                </w:p>
              </w:tc>
              <w:tc>
                <w:tcPr>
                  <w:tcW w:w="2458" w:type="pct"/>
                  <w:gridSpan w:val="3"/>
                  <w:vAlign w:val="center"/>
                </w:tcPr>
                <w:p w14:paraId="09315E0D">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许可参数级别</w:t>
                  </w:r>
                </w:p>
              </w:tc>
              <w:tc>
                <w:tcPr>
                  <w:tcW w:w="1230" w:type="pct"/>
                  <w:vMerge w:val="restart"/>
                  <w:vAlign w:val="center"/>
                </w:tcPr>
                <w:p w14:paraId="0AA20550">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备注</w:t>
                  </w:r>
                </w:p>
              </w:tc>
            </w:tr>
            <w:tr w14:paraId="5C8FF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254" w:hRule="atLeast"/>
              </w:trPr>
              <w:tc>
                <w:tcPr>
                  <w:tcW w:w="1312" w:type="pct"/>
                  <w:vMerge w:val="continue"/>
                  <w:vAlign w:val="center"/>
                </w:tcPr>
                <w:p w14:paraId="481D3D08">
                  <w:pPr>
                    <w:spacing w:line="400" w:lineRule="exact"/>
                    <w:contextualSpacing/>
                    <w:jc w:val="center"/>
                    <w:rPr>
                      <w:rFonts w:asciiTheme="majorEastAsia" w:hAnsiTheme="majorEastAsia" w:eastAsiaTheme="majorEastAsia" w:cstheme="majorEastAsia"/>
                      <w:bCs/>
                      <w:szCs w:val="21"/>
                    </w:rPr>
                  </w:pPr>
                </w:p>
              </w:tc>
              <w:tc>
                <w:tcPr>
                  <w:tcW w:w="738" w:type="pct"/>
                  <w:vAlign w:val="center"/>
                </w:tcPr>
                <w:p w14:paraId="50328990">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A1</w:t>
                  </w:r>
                </w:p>
              </w:tc>
              <w:tc>
                <w:tcPr>
                  <w:tcW w:w="983" w:type="pct"/>
                  <w:vAlign w:val="center"/>
                </w:tcPr>
                <w:p w14:paraId="2E17747D">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A2</w:t>
                  </w:r>
                </w:p>
              </w:tc>
              <w:tc>
                <w:tcPr>
                  <w:tcW w:w="737" w:type="pct"/>
                  <w:vAlign w:val="center"/>
                </w:tcPr>
                <w:p w14:paraId="0F9B297C">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B</w:t>
                  </w:r>
                </w:p>
              </w:tc>
              <w:tc>
                <w:tcPr>
                  <w:tcW w:w="1230" w:type="pct"/>
                  <w:vMerge w:val="continue"/>
                  <w:vAlign w:val="center"/>
                </w:tcPr>
                <w:p w14:paraId="2569F5EA">
                  <w:pPr>
                    <w:spacing w:line="400" w:lineRule="exact"/>
                    <w:contextualSpacing/>
                    <w:jc w:val="center"/>
                    <w:rPr>
                      <w:rFonts w:asciiTheme="majorEastAsia" w:hAnsiTheme="majorEastAsia" w:eastAsiaTheme="majorEastAsia" w:cstheme="majorEastAsia"/>
                      <w:bCs/>
                      <w:szCs w:val="21"/>
                    </w:rPr>
                  </w:pPr>
                </w:p>
              </w:tc>
            </w:tr>
            <w:tr w14:paraId="22DB8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504" w:hRule="atLeast"/>
              </w:trPr>
              <w:tc>
                <w:tcPr>
                  <w:tcW w:w="1312" w:type="pct"/>
                  <w:vAlign w:val="center"/>
                </w:tcPr>
                <w:p w14:paraId="06C6E3EA">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曳引驱动乘客电梯（含消防员电梯）</w:t>
                  </w:r>
                </w:p>
              </w:tc>
              <w:tc>
                <w:tcPr>
                  <w:tcW w:w="738" w:type="pct"/>
                  <w:vAlign w:val="center"/>
                </w:tcPr>
                <w:p w14:paraId="22B6D76D">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额定速度＞6.0m/s</w:t>
                  </w:r>
                </w:p>
              </w:tc>
              <w:tc>
                <w:tcPr>
                  <w:tcW w:w="983" w:type="pct"/>
                  <w:vAlign w:val="center"/>
                </w:tcPr>
                <w:p w14:paraId="3AF7235B">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2.5m/s＜额定速度≤6.0m/s</w:t>
                  </w:r>
                </w:p>
              </w:tc>
              <w:tc>
                <w:tcPr>
                  <w:tcW w:w="737" w:type="pct"/>
                  <w:vAlign w:val="center"/>
                </w:tcPr>
                <w:p w14:paraId="0083350F">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额定速度≤2.5m/s</w:t>
                  </w:r>
                </w:p>
              </w:tc>
              <w:tc>
                <w:tcPr>
                  <w:tcW w:w="1230" w:type="pct"/>
                  <w:vAlign w:val="center"/>
                </w:tcPr>
                <w:p w14:paraId="1C32738D">
                  <w:pPr>
                    <w:spacing w:line="400" w:lineRule="exact"/>
                    <w:contextualSpacing/>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A1级覆盖A2和B级，A2级覆盖B级。</w:t>
                  </w:r>
                </w:p>
              </w:tc>
            </w:tr>
          </w:tbl>
          <w:p w14:paraId="41F8DEE2">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提供资质证书并加盖比选申请人单位公章。</w:t>
            </w:r>
          </w:p>
          <w:p w14:paraId="339F51F4">
            <w:pPr>
              <w:numPr>
                <w:ilvl w:val="255"/>
                <w:numId w:val="0"/>
              </w:numPr>
              <w:snapToGrid w:val="0"/>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二、财务要求：</w:t>
            </w:r>
          </w:p>
          <w:p w14:paraId="78C407B7">
            <w:pPr>
              <w:spacing w:line="400" w:lineRule="exact"/>
              <w:ind w:firstLine="420" w:firstLineChars="200"/>
              <w:rPr>
                <w:rFonts w:asciiTheme="majorEastAsia" w:hAnsiTheme="majorEastAsia" w:eastAsiaTheme="majorEastAsia" w:cstheme="majorEastAsia"/>
              </w:rPr>
            </w:pPr>
            <w:r>
              <w:rPr>
                <w:rFonts w:asciiTheme="majorEastAsia" w:hAnsiTheme="majorEastAsia" w:eastAsiaTheme="majorEastAsia" w:cstheme="majorEastAsia"/>
                <w:u w:val="single"/>
              </w:rPr>
              <w:t>2024</w:t>
            </w:r>
            <w:r>
              <w:rPr>
                <w:rFonts w:hint="eastAsia" w:asciiTheme="majorEastAsia" w:hAnsiTheme="majorEastAsia" w:eastAsiaTheme="majorEastAsia" w:cstheme="majorEastAsia"/>
              </w:rPr>
              <w:t>年的年度财务状况不亏损。</w:t>
            </w:r>
          </w:p>
          <w:p w14:paraId="45230BD2">
            <w:pPr>
              <w:autoSpaceDE w:val="0"/>
              <w:autoSpaceDN w:val="0"/>
              <w:adjustRightInd w:val="0"/>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比选申请人须在比选申请文件中提供经会计师事务所或审计机构出具的合法有效的财务审计报告（含财务报表）</w:t>
            </w:r>
            <w:r>
              <w:rPr>
                <w:rFonts w:hint="eastAsia" w:asciiTheme="majorEastAsia" w:hAnsiTheme="majorEastAsia" w:eastAsiaTheme="majorEastAsia" w:cstheme="majorEastAsia"/>
              </w:rPr>
              <w:t>复印件加盖比选申请人单位公章</w:t>
            </w:r>
            <w:r>
              <w:rPr>
                <w:rFonts w:hint="eastAsia" w:asciiTheme="majorEastAsia" w:hAnsiTheme="majorEastAsia" w:eastAsiaTheme="majorEastAsia" w:cstheme="majorEastAsia"/>
                <w:kern w:val="0"/>
                <w:szCs w:val="21"/>
              </w:rPr>
              <w:t>，财务报表须至少包括现金流量表、资产负债表、利润表。</w:t>
            </w:r>
          </w:p>
          <w:p w14:paraId="698E689C">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三、业绩要求：</w:t>
            </w:r>
          </w:p>
          <w:p w14:paraId="50B50D4A">
            <w:pPr>
              <w:spacing w:line="400" w:lineRule="exact"/>
              <w:ind w:firstLine="420" w:firstLineChars="200"/>
              <w:rPr>
                <w:rFonts w:ascii="宋体" w:hAnsi="宋体" w:cs="宋体"/>
              </w:rPr>
            </w:pPr>
            <w:r>
              <w:rPr>
                <w:rFonts w:asciiTheme="majorEastAsia" w:hAnsiTheme="majorEastAsia" w:eastAsiaTheme="majorEastAsia" w:cstheme="majorEastAsia"/>
              </w:rPr>
              <w:t>比选申请人须具有2022年1月1日（以合同签订时间为准）至今，至少具有1个合同金额不低于</w:t>
            </w:r>
            <w:r>
              <w:rPr>
                <w:rFonts w:hint="eastAsia" w:asciiTheme="majorEastAsia" w:hAnsiTheme="majorEastAsia" w:eastAsiaTheme="majorEastAsia" w:cstheme="majorEastAsia"/>
              </w:rPr>
              <w:t>260万元的电梯维保服务业绩。</w:t>
            </w:r>
          </w:p>
          <w:p w14:paraId="0D5B133C">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提供合同关键页（须包含合同主体、项目名称、合同内容、合同金额、双方签章页等内容）复印件，并加盖比选申请人单位公章。</w:t>
            </w:r>
          </w:p>
          <w:p w14:paraId="3D836BB1">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四、信誉要求：</w:t>
            </w:r>
          </w:p>
          <w:p w14:paraId="0315B392">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比选申请人自行承诺：</w:t>
            </w:r>
          </w:p>
          <w:p w14:paraId="2E24AA2F">
            <w:pPr>
              <w:spacing w:line="400" w:lineRule="exact"/>
              <w:ind w:firstLine="420" w:firstLineChars="200"/>
              <w:rPr>
                <w:rFonts w:asciiTheme="majorEastAsia" w:hAnsiTheme="majorEastAsia" w:eastAsiaTheme="majorEastAsia" w:cstheme="majorEastAsia"/>
              </w:rPr>
            </w:pPr>
            <w:r>
              <w:rPr>
                <w:rFonts w:asciiTheme="majorEastAsia" w:hAnsiTheme="majorEastAsia" w:eastAsiaTheme="majorEastAsia" w:cstheme="majorEastAsia"/>
              </w:rPr>
              <w:t>1.具有良好的商业信誉，具有履行合同所需的设备和专业技术能力；</w:t>
            </w:r>
          </w:p>
          <w:p w14:paraId="7BDBC056">
            <w:pPr>
              <w:spacing w:line="400" w:lineRule="exact"/>
              <w:ind w:firstLine="420" w:firstLineChars="200"/>
              <w:rPr>
                <w:rFonts w:asciiTheme="majorEastAsia" w:hAnsiTheme="majorEastAsia" w:eastAsiaTheme="majorEastAsia" w:cstheme="majorEastAsia"/>
              </w:rPr>
            </w:pPr>
            <w:r>
              <w:rPr>
                <w:rFonts w:asciiTheme="majorEastAsia" w:hAnsiTheme="majorEastAsia" w:eastAsiaTheme="majorEastAsia" w:cstheme="majorEastAsia"/>
              </w:rPr>
              <w:t>2.最近三年无重大违法经营活动记录；</w:t>
            </w:r>
          </w:p>
          <w:p w14:paraId="158D88D4">
            <w:pPr>
              <w:spacing w:line="400" w:lineRule="exact"/>
              <w:ind w:firstLine="420" w:firstLineChars="200"/>
              <w:rPr>
                <w:rFonts w:asciiTheme="majorEastAsia" w:hAnsiTheme="majorEastAsia" w:eastAsiaTheme="majorEastAsia" w:cstheme="majorEastAsia"/>
              </w:rPr>
            </w:pPr>
            <w:r>
              <w:rPr>
                <w:rFonts w:asciiTheme="majorEastAsia" w:hAnsiTheme="majorEastAsia" w:eastAsiaTheme="majorEastAsia" w:cstheme="majorEastAsia"/>
              </w:rPr>
              <w:t>3.未被人民法院列入失信被执行人名单且在被执行期内；</w:t>
            </w:r>
          </w:p>
          <w:p w14:paraId="1813B8AD">
            <w:pPr>
              <w:snapToGrid w:val="0"/>
              <w:spacing w:line="400" w:lineRule="exact"/>
              <w:ind w:firstLine="420" w:firstLineChars="200"/>
              <w:rPr>
                <w:rFonts w:asciiTheme="majorEastAsia" w:hAnsiTheme="majorEastAsia" w:eastAsiaTheme="majorEastAsia" w:cstheme="majorEastAsia"/>
              </w:rPr>
            </w:pPr>
            <w:r>
              <w:rPr>
                <w:rFonts w:asciiTheme="majorEastAsia" w:hAnsiTheme="majorEastAsia" w:eastAsiaTheme="majorEastAsia" w:cstheme="majorEastAsia"/>
              </w:rPr>
              <w:t>4.未被国家、重庆市（含市或任意区县）有关行政部门处以暂停</w:t>
            </w:r>
            <w:r>
              <w:rPr>
                <w:rFonts w:hint="eastAsia" w:asciiTheme="majorEastAsia" w:hAnsiTheme="majorEastAsia" w:eastAsiaTheme="majorEastAsia" w:cstheme="majorEastAsia"/>
              </w:rPr>
              <w:t>比选申请（比选申请）资格行政处罚，且在处罚期限内。</w:t>
            </w:r>
          </w:p>
          <w:p w14:paraId="1D78DE8D">
            <w:pPr>
              <w:spacing w:line="400" w:lineRule="exact"/>
              <w:ind w:firstLine="422" w:firstLineChars="200"/>
              <w:contextualSpacing/>
              <w:rPr>
                <w:rFonts w:asciiTheme="majorEastAsia" w:hAnsiTheme="majorEastAsia" w:eastAsiaTheme="majorEastAsia" w:cstheme="majorEastAsia"/>
                <w:b/>
              </w:rPr>
            </w:pPr>
            <w:r>
              <w:rPr>
                <w:rFonts w:asciiTheme="majorEastAsia" w:hAnsiTheme="majorEastAsia" w:eastAsiaTheme="majorEastAsia" w:cstheme="majorEastAsia"/>
                <w:b/>
              </w:rPr>
              <w:t>5.</w:t>
            </w:r>
            <w:r>
              <w:rPr>
                <w:rFonts w:hint="eastAsia" w:asciiTheme="majorEastAsia" w:hAnsiTheme="majorEastAsia" w:eastAsiaTheme="majorEastAsia" w:cstheme="majorEastAsia"/>
              </w:rPr>
              <w:t>所派员工均无犯罪记录，中选后按比选人要求提供证明材料。</w:t>
            </w:r>
          </w:p>
          <w:p w14:paraId="6C158F2C">
            <w:pPr>
              <w:spacing w:line="400" w:lineRule="exact"/>
              <w:ind w:firstLine="422" w:firstLineChars="200"/>
              <w:contextualSpacing/>
              <w:rPr>
                <w:rFonts w:asciiTheme="majorEastAsia" w:hAnsiTheme="majorEastAsia" w:eastAsiaTheme="majorEastAsia" w:cstheme="majorEastAsia"/>
                <w:b/>
              </w:rPr>
            </w:pPr>
            <w:r>
              <w:rPr>
                <w:rFonts w:hint="eastAsia" w:asciiTheme="majorEastAsia" w:hAnsiTheme="majorEastAsia" w:eastAsiaTheme="majorEastAsia" w:cstheme="majorEastAsia"/>
                <w:b/>
              </w:rPr>
              <w:t>提供承诺函(格式自拟)加盖比选申请人单位公章。</w:t>
            </w:r>
          </w:p>
          <w:p w14:paraId="2C4AF98D">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五、其他要求：</w:t>
            </w:r>
          </w:p>
          <w:p w14:paraId="7544E889">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ascii="宋体" w:hAnsi="宋体" w:cs="宋体"/>
              </w:rPr>
              <w:t>1.</w:t>
            </w:r>
            <w:r>
              <w:rPr>
                <w:rFonts w:hint="eastAsia" w:asciiTheme="majorEastAsia" w:hAnsiTheme="majorEastAsia" w:eastAsiaTheme="majorEastAsia" w:cstheme="majorEastAsia"/>
              </w:rPr>
              <w:t>委托代理人：</w:t>
            </w:r>
          </w:p>
          <w:p w14:paraId="038D1ACB">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委托代理人必须为比选申请人本单位人员。</w:t>
            </w:r>
          </w:p>
          <w:p w14:paraId="0DD1DA34">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提供比选申请人为该委托代理人缴纳的养老保险证明。</w:t>
            </w:r>
          </w:p>
          <w:p w14:paraId="003D2148">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注：以上所有复印件均须加盖比选申请人单位公章（鲜章）。比选申请人应对上述资料真实性负责，如提供虚假材料，比选人一经查实，将取消比选申请资格或中选资格。</w:t>
            </w:r>
          </w:p>
          <w:p w14:paraId="012EAC37">
            <w:pPr>
              <w:autoSpaceDE w:val="0"/>
              <w:autoSpaceDN w:val="0"/>
              <w:adjustRightInd w:val="0"/>
              <w:snapToGrid w:val="0"/>
              <w:spacing w:line="400" w:lineRule="exact"/>
              <w:ind w:firstLine="422" w:firstLineChars="200"/>
              <w:rPr>
                <w:rFonts w:ascii="宋体" w:hAnsi="宋体" w:cs="宋体"/>
                <w:b/>
              </w:rPr>
            </w:pPr>
            <w:r>
              <w:rPr>
                <w:rFonts w:hint="eastAsia" w:ascii="宋体" w:hAnsi="宋体" w:cs="宋体"/>
                <w:b/>
              </w:rPr>
              <w:t>特别说明：</w:t>
            </w:r>
          </w:p>
          <w:p w14:paraId="2BC2C259">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ascii="宋体" w:hAnsi="宋体" w:cs="宋体"/>
              </w:rPr>
              <w:t>(1)</w:t>
            </w:r>
            <w:r>
              <w:rPr>
                <w:rFonts w:hint="eastAsia" w:asciiTheme="majorEastAsia" w:hAnsiTheme="majorEastAsia" w:eastAsiaTheme="majorEastAsia" w:cstheme="majorEastAsia"/>
              </w:rPr>
              <w:t>比选文件中所要求的人员养老保险证明要求如下：</w:t>
            </w:r>
          </w:p>
          <w:p w14:paraId="5721B7AB">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①企业提供养老保险证明，事业单位提供养老保险证明或行政主管部门在编证明。</w:t>
            </w:r>
          </w:p>
          <w:p w14:paraId="11E4516D">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②连续养老保险证明期限须包含</w:t>
            </w:r>
            <w:r>
              <w:rPr>
                <w:rFonts w:asciiTheme="majorEastAsia" w:hAnsiTheme="majorEastAsia" w:eastAsiaTheme="majorEastAsia" w:cstheme="majorEastAsia"/>
              </w:rPr>
              <w:t>2025</w:t>
            </w:r>
            <w:r>
              <w:rPr>
                <w:rFonts w:hint="eastAsia" w:asciiTheme="majorEastAsia" w:hAnsiTheme="majorEastAsia" w:eastAsiaTheme="majorEastAsia" w:cstheme="majorEastAsia"/>
              </w:rPr>
              <w:t>年3月至</w:t>
            </w:r>
            <w:r>
              <w:rPr>
                <w:rFonts w:asciiTheme="majorEastAsia" w:hAnsiTheme="majorEastAsia" w:eastAsiaTheme="majorEastAsia" w:cstheme="majorEastAsia"/>
              </w:rPr>
              <w:t>2025年</w:t>
            </w:r>
            <w:r>
              <w:rPr>
                <w:rFonts w:hint="eastAsia" w:asciiTheme="majorEastAsia" w:hAnsiTheme="majorEastAsia" w:eastAsiaTheme="majorEastAsia" w:cstheme="majorEastAsia"/>
              </w:rPr>
              <w:t>8月。提供的养老保险参保证明须体现上述人员的姓名、身份证号（或社保号）、单位名称、本单位参保时间（或起始参保时间），并带有社保部门公章或社保部门的有效电子印章。</w:t>
            </w:r>
          </w:p>
          <w:p w14:paraId="7A257571">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ascii="宋体" w:hAnsi="宋体" w:cs="宋体"/>
              </w:rPr>
              <w:t>(2)</w:t>
            </w:r>
            <w:r>
              <w:rPr>
                <w:rFonts w:hint="eastAsia" w:asciiTheme="majorEastAsia" w:hAnsiTheme="majorEastAsia" w:eastAsiaTheme="majorEastAsia" w:cstheme="majorEastAsia"/>
              </w:rPr>
              <w:t>不满足上述条件的，评审小组作否决比选申请处理。</w:t>
            </w:r>
          </w:p>
        </w:tc>
      </w:tr>
      <w:tr w14:paraId="1B87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91E8812">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1.4.2</w:t>
            </w:r>
          </w:p>
        </w:tc>
        <w:tc>
          <w:tcPr>
            <w:tcW w:w="1506" w:type="dxa"/>
            <w:vAlign w:val="center"/>
          </w:tcPr>
          <w:p w14:paraId="132F8E4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是否接受联合体参加比选</w:t>
            </w:r>
          </w:p>
        </w:tc>
        <w:tc>
          <w:tcPr>
            <w:tcW w:w="7215" w:type="dxa"/>
            <w:vAlign w:val="center"/>
          </w:tcPr>
          <w:p w14:paraId="6CC72D8A">
            <w:pPr>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不接受</w:t>
            </w:r>
          </w:p>
        </w:tc>
      </w:tr>
      <w:tr w14:paraId="1A76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5B84C9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1.9.1</w:t>
            </w:r>
          </w:p>
        </w:tc>
        <w:tc>
          <w:tcPr>
            <w:tcW w:w="1506" w:type="dxa"/>
            <w:vAlign w:val="center"/>
          </w:tcPr>
          <w:p w14:paraId="47064AB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踏勘现场</w:t>
            </w:r>
          </w:p>
        </w:tc>
        <w:tc>
          <w:tcPr>
            <w:tcW w:w="7215" w:type="dxa"/>
            <w:vAlign w:val="center"/>
          </w:tcPr>
          <w:p w14:paraId="18D596D8">
            <w:pPr>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不组织</w:t>
            </w:r>
          </w:p>
        </w:tc>
      </w:tr>
      <w:tr w14:paraId="2C48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B81EA4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1.10</w:t>
            </w:r>
          </w:p>
        </w:tc>
        <w:tc>
          <w:tcPr>
            <w:tcW w:w="1506" w:type="dxa"/>
            <w:vAlign w:val="center"/>
          </w:tcPr>
          <w:p w14:paraId="4846921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szCs w:val="21"/>
              </w:rPr>
              <w:t>比选</w:t>
            </w:r>
            <w:r>
              <w:rPr>
                <w:rFonts w:hint="eastAsia" w:asciiTheme="majorEastAsia" w:hAnsiTheme="majorEastAsia" w:eastAsiaTheme="majorEastAsia" w:cstheme="majorEastAsia"/>
                <w:kern w:val="0"/>
                <w:szCs w:val="21"/>
              </w:rPr>
              <w:t>预备会</w:t>
            </w:r>
          </w:p>
        </w:tc>
        <w:tc>
          <w:tcPr>
            <w:tcW w:w="7215" w:type="dxa"/>
            <w:vAlign w:val="center"/>
          </w:tcPr>
          <w:p w14:paraId="0AACBE6B">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不召开</w:t>
            </w:r>
          </w:p>
        </w:tc>
      </w:tr>
      <w:tr w14:paraId="41E2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DCF145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1.11</w:t>
            </w:r>
          </w:p>
        </w:tc>
        <w:tc>
          <w:tcPr>
            <w:tcW w:w="1506" w:type="dxa"/>
            <w:vAlign w:val="center"/>
          </w:tcPr>
          <w:p w14:paraId="24475E2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分包</w:t>
            </w:r>
          </w:p>
        </w:tc>
        <w:tc>
          <w:tcPr>
            <w:tcW w:w="7215" w:type="dxa"/>
            <w:vAlign w:val="center"/>
          </w:tcPr>
          <w:p w14:paraId="54BC41D7">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不允许</w:t>
            </w:r>
          </w:p>
        </w:tc>
      </w:tr>
      <w:tr w14:paraId="121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95C87B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w:t>
            </w:r>
          </w:p>
        </w:tc>
        <w:tc>
          <w:tcPr>
            <w:tcW w:w="1506" w:type="dxa"/>
            <w:vAlign w:val="center"/>
          </w:tcPr>
          <w:p w14:paraId="136B4CB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构成竞争性比选文件的其他材料</w:t>
            </w:r>
          </w:p>
        </w:tc>
        <w:tc>
          <w:tcPr>
            <w:tcW w:w="7215" w:type="dxa"/>
            <w:vAlign w:val="center"/>
          </w:tcPr>
          <w:p w14:paraId="1A940875">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比选人发出的澄清与修改书或补充通知</w:t>
            </w:r>
          </w:p>
        </w:tc>
      </w:tr>
      <w:tr w14:paraId="3C61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92" w:type="dxa"/>
            <w:vAlign w:val="center"/>
          </w:tcPr>
          <w:p w14:paraId="73F81A9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2.3</w:t>
            </w:r>
          </w:p>
        </w:tc>
        <w:tc>
          <w:tcPr>
            <w:tcW w:w="1506" w:type="dxa"/>
            <w:vAlign w:val="center"/>
          </w:tcPr>
          <w:p w14:paraId="5FC4D98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比选申请文件递交截止时间</w:t>
            </w:r>
          </w:p>
        </w:tc>
        <w:tc>
          <w:tcPr>
            <w:tcW w:w="7215" w:type="dxa"/>
            <w:vAlign w:val="center"/>
          </w:tcPr>
          <w:p w14:paraId="172830D8">
            <w:pPr>
              <w:snapToGrid w:val="0"/>
              <w:spacing w:line="400" w:lineRule="exact"/>
              <w:ind w:firstLine="420" w:firstLineChars="200"/>
              <w:rPr>
                <w:rFonts w:asciiTheme="majorEastAsia" w:hAnsiTheme="majorEastAsia" w:eastAsiaTheme="majorEastAsia" w:cstheme="majorEastAsia"/>
                <w:kern w:val="0"/>
                <w:szCs w:val="21"/>
              </w:rPr>
            </w:pPr>
            <w:r>
              <w:rPr>
                <w:rFonts w:asciiTheme="majorEastAsia" w:hAnsiTheme="majorEastAsia" w:eastAsiaTheme="majorEastAsia" w:cstheme="majorEastAsia"/>
              </w:rPr>
              <w:t>2025年</w:t>
            </w:r>
            <w:r>
              <w:rPr>
                <w:rFonts w:hint="eastAsia" w:asciiTheme="majorEastAsia" w:hAnsiTheme="majorEastAsia" w:eastAsiaTheme="majorEastAsia" w:cstheme="majorEastAsia"/>
              </w:rPr>
              <w:t>9月15日10时</w:t>
            </w:r>
            <w:r>
              <w:rPr>
                <w:rFonts w:asciiTheme="majorEastAsia" w:hAnsiTheme="majorEastAsia" w:eastAsiaTheme="majorEastAsia" w:cstheme="majorEastAsia"/>
              </w:rPr>
              <w:t>00分</w:t>
            </w:r>
          </w:p>
        </w:tc>
      </w:tr>
      <w:tr w14:paraId="6D94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34BEBA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3.1.1</w:t>
            </w:r>
          </w:p>
        </w:tc>
        <w:tc>
          <w:tcPr>
            <w:tcW w:w="1506" w:type="dxa"/>
            <w:vAlign w:val="center"/>
          </w:tcPr>
          <w:p w14:paraId="11CCBE42">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构成比选申请文件的其他材料</w:t>
            </w:r>
          </w:p>
        </w:tc>
        <w:tc>
          <w:tcPr>
            <w:tcW w:w="7215" w:type="dxa"/>
            <w:vAlign w:val="center"/>
          </w:tcPr>
          <w:p w14:paraId="7C804B0B">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比选申请人的书面澄清、说明和补正（但不得改变比选申请文件的实质性内容）</w:t>
            </w:r>
          </w:p>
        </w:tc>
      </w:tr>
      <w:tr w14:paraId="56AF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EECE48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w:t>
            </w:r>
          </w:p>
        </w:tc>
        <w:tc>
          <w:tcPr>
            <w:tcW w:w="1506" w:type="dxa"/>
            <w:vAlign w:val="center"/>
          </w:tcPr>
          <w:p w14:paraId="1AB448F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比选申请报价</w:t>
            </w:r>
          </w:p>
        </w:tc>
        <w:tc>
          <w:tcPr>
            <w:tcW w:w="7215" w:type="dxa"/>
            <w:vAlign w:val="center"/>
          </w:tcPr>
          <w:p w14:paraId="1204955B">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1.由比选申请人根据本项目比选范围、比选申请人企业自身情况和市场行情自行报价。</w:t>
            </w:r>
          </w:p>
          <w:p w14:paraId="5A1BD65C">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2.计价方式：综合包干单价；</w:t>
            </w:r>
          </w:p>
          <w:p w14:paraId="336EF3D0">
            <w:pPr>
              <w:widowControl/>
              <w:snapToGrid w:val="0"/>
              <w:spacing w:line="400" w:lineRule="exact"/>
              <w:ind w:firstLine="555"/>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3.比选申请单价为按月计算的综合包干单价，包括人工费（工资、保险、福利、工服、交通、餐费、加班费、住宿费），</w:t>
            </w:r>
            <w:r>
              <w:rPr>
                <w:rFonts w:hint="eastAsia" w:asciiTheme="majorEastAsia" w:hAnsiTheme="majorEastAsia" w:eastAsiaTheme="majorEastAsia" w:cstheme="majorEastAsia"/>
                <w:bCs/>
                <w:szCs w:val="21"/>
              </w:rPr>
              <w:t>维保</w:t>
            </w:r>
            <w:r>
              <w:rPr>
                <w:rFonts w:asciiTheme="majorEastAsia" w:hAnsiTheme="majorEastAsia" w:eastAsiaTheme="majorEastAsia" w:cstheme="majorEastAsia"/>
                <w:bCs/>
                <w:szCs w:val="21"/>
              </w:rPr>
              <w:t>或维修器材（用品、工具、机械设备），管理费、税收和利润等一切全部费用；因比选申请人自身原因造成漏报、少报皆由其自行承担责任，比选人不再补偿；</w:t>
            </w:r>
          </w:p>
          <w:p w14:paraId="269814B1">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4.比选申请人无论踏勘与否，均视为已自行踏勘现场，了解服务项目的范围及规模，并已将其充分考虑在其比选申请报价中，在合同执行过程不作任何调整；</w:t>
            </w:r>
          </w:p>
          <w:p w14:paraId="444519D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5.因市场性、政策性变化而引起的任何市场价格变动，均不影响合同执行，并不得调整合同单价。</w:t>
            </w:r>
          </w:p>
          <w:p w14:paraId="6B5440F9">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6.报价方式及最高限价</w:t>
            </w:r>
          </w:p>
          <w:p w14:paraId="794F2BB7">
            <w:pPr>
              <w:widowControl/>
              <w:snapToGrid w:val="0"/>
              <w:spacing w:line="400" w:lineRule="exact"/>
              <w:ind w:firstLine="555"/>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Cs/>
                <w:szCs w:val="21"/>
              </w:rPr>
              <w:t>本项目设有包干含税比选申请总报价最高限价为</w:t>
            </w:r>
            <w:r>
              <w:rPr>
                <w:rFonts w:hint="eastAsia" w:asciiTheme="majorEastAsia" w:hAnsiTheme="majorEastAsia" w:eastAsiaTheme="majorEastAsia" w:cstheme="majorEastAsia"/>
                <w:b/>
                <w:bCs/>
                <w:szCs w:val="21"/>
                <w:u w:val="single"/>
              </w:rPr>
              <w:t>叁佰伍拾陆万肆仟</w:t>
            </w:r>
            <w:r>
              <w:rPr>
                <w:rFonts w:hint="eastAsia" w:ascii="宋体" w:hAnsi="宋体" w:cs="宋体"/>
                <w:b/>
                <w:bCs/>
                <w:szCs w:val="21"/>
                <w:u w:val="single"/>
              </w:rPr>
              <w:t>元整（¥3564000.00）</w:t>
            </w:r>
            <w:r>
              <w:rPr>
                <w:rFonts w:hint="eastAsia" w:asciiTheme="majorEastAsia" w:hAnsiTheme="majorEastAsia" w:eastAsiaTheme="majorEastAsia" w:cstheme="majorEastAsia"/>
                <w:b/>
                <w:bCs/>
                <w:szCs w:val="21"/>
              </w:rPr>
              <w:t>；每台电梯包干维修含税比选申请最高限价</w:t>
            </w:r>
            <w:r>
              <w:rPr>
                <w:rFonts w:hint="eastAsia" w:asciiTheme="majorEastAsia" w:hAnsiTheme="majorEastAsia" w:eastAsiaTheme="majorEastAsia" w:cstheme="majorEastAsia"/>
                <w:b/>
                <w:bCs/>
                <w:szCs w:val="21"/>
                <w:u w:val="single"/>
              </w:rPr>
              <w:t>550元/月</w:t>
            </w:r>
            <w:r>
              <w:rPr>
                <w:rFonts w:hint="eastAsia" w:asciiTheme="majorEastAsia" w:hAnsiTheme="majorEastAsia" w:eastAsiaTheme="majorEastAsia" w:cstheme="majorEastAsia"/>
                <w:b/>
                <w:bCs/>
                <w:szCs w:val="21"/>
              </w:rPr>
              <w:t>；包干含税比选申请总报价超过已公布的包干</w:t>
            </w:r>
            <w:r>
              <w:rPr>
                <w:rFonts w:hint="eastAsia" w:ascii="宋体" w:hAnsi="宋体" w:cs="仿宋"/>
                <w:b/>
                <w:szCs w:val="21"/>
              </w:rPr>
              <w:t>比选申请总报价</w:t>
            </w:r>
            <w:r>
              <w:rPr>
                <w:rFonts w:hint="eastAsia" w:asciiTheme="majorEastAsia" w:hAnsiTheme="majorEastAsia" w:eastAsiaTheme="majorEastAsia" w:cstheme="majorEastAsia"/>
                <w:b/>
                <w:bCs/>
                <w:szCs w:val="21"/>
              </w:rPr>
              <w:t>最高限价、包干含税比选申请单价报价超过已公布的包干</w:t>
            </w:r>
            <w:r>
              <w:rPr>
                <w:rFonts w:hint="eastAsia" w:ascii="宋体" w:hAnsi="宋体" w:cs="仿宋"/>
                <w:b/>
                <w:szCs w:val="21"/>
              </w:rPr>
              <w:t>比选申请单价报价</w:t>
            </w:r>
            <w:r>
              <w:rPr>
                <w:rFonts w:hint="eastAsia" w:asciiTheme="majorEastAsia" w:hAnsiTheme="majorEastAsia" w:eastAsiaTheme="majorEastAsia" w:cstheme="majorEastAsia"/>
                <w:b/>
                <w:bCs/>
                <w:szCs w:val="21"/>
              </w:rPr>
              <w:t>最高限价均由评审小组按否决比选申请处理。</w:t>
            </w:r>
          </w:p>
          <w:p w14:paraId="31991741">
            <w:pPr>
              <w:widowControl/>
              <w:snapToGrid w:val="0"/>
              <w:spacing w:line="400" w:lineRule="exact"/>
              <w:ind w:firstLine="555"/>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包干含税比选申请总报价计算方法：每台电梯包干维修含税比选申请单价*180台*36个月。</w:t>
            </w:r>
          </w:p>
          <w:p w14:paraId="77CD14E4">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8.付款方式：每月</w:t>
            </w:r>
            <w:r>
              <w:rPr>
                <w:rFonts w:asciiTheme="majorEastAsia" w:hAnsiTheme="majorEastAsia" w:eastAsiaTheme="majorEastAsia" w:cstheme="majorEastAsia"/>
                <w:bCs/>
                <w:szCs w:val="21"/>
              </w:rPr>
              <w:t>5日前（遇节假日顺延），由中选人向比选人提供相关资料，核查费用清单无误</w:t>
            </w:r>
            <w:r>
              <w:rPr>
                <w:rFonts w:hint="eastAsia" w:asciiTheme="majorEastAsia" w:hAnsiTheme="majorEastAsia" w:eastAsiaTheme="majorEastAsia" w:cstheme="majorEastAsia"/>
                <w:bCs/>
                <w:szCs w:val="21"/>
              </w:rPr>
              <w:t>且经比选人签字确认，中选人出具正规增值税发票后，比选人在15个工作日内以支票方式支付，遇节假日顺延；比选人未收到中选人出具的发票前有权拒绝支付任何款项且不承担任何违约责任。</w:t>
            </w:r>
          </w:p>
          <w:p w14:paraId="7FC9A7FC">
            <w:pPr>
              <w:widowControl/>
              <w:snapToGrid w:val="0"/>
              <w:spacing w:line="400" w:lineRule="exact"/>
              <w:ind w:firstLine="555"/>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9.合同执行期间，比选人（或其上级管理单位）若增加或减少日常保养与维修的电梯数量，则相关日常保养与维修费用将根据中选人中选单价与实际发生的时间（若实际日常保养与维修不足一个月，月数按实际日常保养与维修的天数/30天计算）据实结算，</w:t>
            </w:r>
            <w:r>
              <w:rPr>
                <w:rFonts w:hint="eastAsia" w:asciiTheme="majorEastAsia" w:hAnsiTheme="majorEastAsia" w:eastAsiaTheme="majorEastAsia" w:cstheme="majorEastAsia"/>
                <w:b/>
                <w:bCs/>
                <w:snapToGrid w:val="0"/>
                <w:kern w:val="0"/>
                <w:szCs w:val="21"/>
              </w:rPr>
              <w:t>且中选人应短期委派相关人员以保障</w:t>
            </w:r>
            <w:r>
              <w:rPr>
                <w:rFonts w:hint="eastAsia" w:asciiTheme="majorEastAsia" w:hAnsiTheme="majorEastAsia" w:eastAsiaTheme="majorEastAsia" w:cstheme="majorEastAsia"/>
                <w:b/>
                <w:snapToGrid w:val="0"/>
                <w:kern w:val="0"/>
                <w:szCs w:val="21"/>
              </w:rPr>
              <w:t>小区电梯正常运营，</w:t>
            </w:r>
            <w:r>
              <w:rPr>
                <w:rFonts w:hint="eastAsia" w:asciiTheme="majorEastAsia" w:hAnsiTheme="majorEastAsia" w:eastAsiaTheme="majorEastAsia" w:cstheme="majorEastAsia"/>
                <w:b/>
                <w:bCs/>
                <w:szCs w:val="21"/>
              </w:rPr>
              <w:t>中选人应无条件接受。</w:t>
            </w:r>
          </w:p>
          <w:p w14:paraId="4334850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10.电梯包干维修即比选人提</w:t>
            </w:r>
            <w:bookmarkStart w:id="663" w:name="_GoBack"/>
            <w:bookmarkEnd w:id="663"/>
            <w:r>
              <w:rPr>
                <w:rFonts w:hint="eastAsia" w:asciiTheme="majorEastAsia" w:hAnsiTheme="majorEastAsia" w:eastAsiaTheme="majorEastAsia" w:cstheme="majorEastAsia"/>
                <w:bCs/>
                <w:szCs w:val="21"/>
              </w:rPr>
              <w:t>供定额维修包干费用，比选申请人按照《电梯施工类别划分表（修订版）》国质检特〔2019〕64号规定，负责提供除安装和改造以外的所有电梯修理劳务服务，包含材料、人工、运输等所有费用，同时比选申请人负责按照本项目比选文件要求，服务期内每年为维修范围内的电梯购买公众责任险保险。若服务期内，国家对电梯施工类别划分有新的修订和调整的，按照最新的标准和规定执行。</w:t>
            </w:r>
          </w:p>
          <w:p w14:paraId="3FFB63D5">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各比选申请人在比选申请截止时间前可自行与小区物业管理公司对接，对标的物进行现场查看，知晓标的物工况。无论比选申请人是否查看标的物，均视为比选申请人对标的物工况完全了解。</w:t>
            </w:r>
          </w:p>
          <w:p w14:paraId="6F3F6897">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（1）包干维修包括的主要内容（不仅限于以下内容）：</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6032"/>
            </w:tblGrid>
            <w:tr w14:paraId="2765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85" w:type="pct"/>
                  <w:vAlign w:val="center"/>
                </w:tcPr>
                <w:p w14:paraId="0E68A595">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位置</w:t>
                  </w:r>
                </w:p>
              </w:tc>
              <w:tc>
                <w:tcPr>
                  <w:tcW w:w="4315" w:type="pct"/>
                  <w:vAlign w:val="center"/>
                </w:tcPr>
                <w:p w14:paraId="203764F4">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包干维修主要零部件</w:t>
                  </w:r>
                </w:p>
              </w:tc>
            </w:tr>
            <w:tr w14:paraId="040E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85" w:type="pct"/>
                  <w:vAlign w:val="center"/>
                </w:tcPr>
                <w:p w14:paraId="04382764">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机房</w:t>
                  </w:r>
                </w:p>
              </w:tc>
              <w:tc>
                <w:tcPr>
                  <w:tcW w:w="4315" w:type="pct"/>
                  <w:vAlign w:val="center"/>
                </w:tcPr>
                <w:p w14:paraId="1EA0EA70">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曳引机及组件、旋转编码器、控制柜及元器件、承重梁、导向轮、电源开关箱、限速器、急停开关、绳头组合、绳头板、轿厢上行超速保护装置等。 </w:t>
                  </w:r>
                </w:p>
              </w:tc>
            </w:tr>
            <w:tr w14:paraId="413C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85" w:type="pct"/>
                  <w:vAlign w:val="center"/>
                </w:tcPr>
                <w:p w14:paraId="22707ED3">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井道</w:t>
                  </w:r>
                </w:p>
              </w:tc>
              <w:tc>
                <w:tcPr>
                  <w:tcW w:w="4315" w:type="pct"/>
                  <w:vAlign w:val="center"/>
                </w:tcPr>
                <w:p w14:paraId="1859F160">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导轨、对重导轨、导轨支架、接导板、线槽、对重装置、曳引钢丝绳、限速器钢丝绳、换速、平层感应装置、限速器钢丝绳涨紧装置、随行电缆、电缆支架、缓冲器、补偿装置、轿厢、中间接线盒、底坑检修箱、安全保护装置等。</w:t>
                  </w:r>
                </w:p>
              </w:tc>
            </w:tr>
            <w:tr w14:paraId="046F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685" w:type="pct"/>
                  <w:vAlign w:val="center"/>
                </w:tcPr>
                <w:p w14:paraId="58AB50A3">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轿厢</w:t>
                  </w:r>
                </w:p>
              </w:tc>
              <w:tc>
                <w:tcPr>
                  <w:tcW w:w="4315" w:type="pct"/>
                  <w:vAlign w:val="center"/>
                </w:tcPr>
                <w:p w14:paraId="3A14C368">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轿顶轮、轿架、轿底、轿壁、轿顶、轿门、门机、轿厢内地板、防夹保护装置、操纵箱、轿顶检修箱、照明装置、平层感应器、护脚板、导靴、安全钳、配重块、导轨润滑油杯、急停开关、安全窗、超载保护装置、紧急报警装置等。</w:t>
                  </w:r>
                </w:p>
              </w:tc>
            </w:tr>
            <w:tr w14:paraId="4999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85" w:type="pct"/>
                  <w:vAlign w:val="center"/>
                </w:tcPr>
                <w:p w14:paraId="1C9A6F8D">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层站</w:t>
                  </w:r>
                </w:p>
              </w:tc>
              <w:tc>
                <w:tcPr>
                  <w:tcW w:w="4315" w:type="pct"/>
                  <w:vAlign w:val="center"/>
                </w:tcPr>
                <w:p w14:paraId="715E6DE9">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层楼显示器、层门装置、手动钥匙开关、层门、门锁、门套、层、轿门地坎、呼梯装置等。</w:t>
                  </w:r>
                </w:p>
              </w:tc>
            </w:tr>
          </w:tbl>
          <w:p w14:paraId="1C8B33EC">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（2）不属于公租房电梯包干维修内容</w:t>
            </w:r>
          </w:p>
          <w:p w14:paraId="2B158DA0">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①非电梯本身的零部件及设备损坏，即业主提供的主电源开关，断路器，井道的土建结构，机房通风设备，用于地坑的抽水设备等。</w:t>
            </w:r>
          </w:p>
          <w:p w14:paraId="733D4958">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②自然灾害、不可抗力等其他原因造成的设备的损坏。</w:t>
            </w:r>
          </w:p>
          <w:p w14:paraId="352A46AE">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③因零部件老化或使用年限太长，维修和改造无法恢复使用需要整体更新的电梯。</w:t>
            </w:r>
          </w:p>
          <w:p w14:paraId="2C3D054E">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④《电梯施工类别划分表（修订版）》国质检特〔2019〕64号规定的安装和改造内容。（若国家对电梯施工类别划分有新的修订和调整的，按照最新规定的安装和改造内容执行）。详见下表：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5949"/>
            </w:tblGrid>
            <w:tr w14:paraId="65DD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tcBorders>
                    <w:top w:val="single" w:color="auto" w:sz="4" w:space="0"/>
                    <w:left w:val="single" w:color="auto" w:sz="4" w:space="0"/>
                    <w:bottom w:val="single" w:color="auto" w:sz="4" w:space="0"/>
                    <w:right w:val="single" w:color="auto" w:sz="4" w:space="0"/>
                  </w:tcBorders>
                  <w:vAlign w:val="center"/>
                </w:tcPr>
                <w:p w14:paraId="2A47B3CA">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安装</w:t>
                  </w:r>
                </w:p>
              </w:tc>
              <w:tc>
                <w:tcPr>
                  <w:tcW w:w="4256" w:type="pct"/>
                  <w:tcBorders>
                    <w:top w:val="single" w:color="auto" w:sz="4" w:space="0"/>
                    <w:left w:val="single" w:color="auto" w:sz="4" w:space="0"/>
                    <w:bottom w:val="single" w:color="auto" w:sz="4" w:space="0"/>
                    <w:right w:val="single" w:color="auto" w:sz="4" w:space="0"/>
                  </w:tcBorders>
                  <w:vAlign w:val="center"/>
                </w:tcPr>
                <w:p w14:paraId="7178CDD9">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采用组装、固定、调试等一系列作业方法，将电梯部件组合为具有使用价值的电梯整机的活动；包括移装。</w:t>
                  </w:r>
                </w:p>
              </w:tc>
            </w:tr>
            <w:tr w14:paraId="0715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3" w:type="pct"/>
                  <w:vAlign w:val="center"/>
                </w:tcPr>
                <w:p w14:paraId="1A479703">
                  <w:pPr>
                    <w:widowControl/>
                    <w:snapToGrid w:val="0"/>
                    <w:spacing w:line="400" w:lineRule="exact"/>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改造</w:t>
                  </w:r>
                </w:p>
              </w:tc>
              <w:tc>
                <w:tcPr>
                  <w:tcW w:w="4256" w:type="pct"/>
                  <w:vAlign w:val="center"/>
                </w:tcPr>
                <w:p w14:paraId="6DA581C3">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a.改变电梯的额定（名义）速度、额定载重量、提升高度、轿厢自重（制造单位明确的预留装饰重量或累计增加/减少质量不超过额定载重量的5%除外）、防爆等级、驱动方式、悬挂方式、调速方式或控制方式。（注1）</w:t>
                  </w:r>
                </w:p>
                <w:p w14:paraId="3F221E26">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b.改变轿门的类型、增加或减少轿门。</w:t>
                  </w:r>
                </w:p>
                <w:p w14:paraId="65B80894">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c.改变轿架受力结构、更换轿架或更换无轿架式轿厢。</w:t>
                  </w:r>
                </w:p>
                <w:p w14:paraId="3B90173B">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注：</w:t>
                  </w:r>
                </w:p>
                <w:p w14:paraId="2EB9FB1D">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改变电梯的调速方式是指：如将乘客或载货电梯的交流变极调速系统改变为交流变频变压调速系统；或者改变自动扶梯与自动人行道的调速系统，使其由连续运行型改变为间歇运行型等。</w:t>
                  </w:r>
                </w:p>
                <w:p w14:paraId="24F2ED64">
                  <w:pPr>
                    <w:widowControl/>
                    <w:snapToGrid w:val="0"/>
                    <w:spacing w:line="40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控制方式是指：为响应来自操作装置的信号而对电梯的启动、停止和运行方向进行控制的方式，例如：按钮控制、信号控制以及集选控制（含单台集选控制、两台并联控制和多台群组控制）等。</w:t>
                  </w:r>
                </w:p>
              </w:tc>
            </w:tr>
          </w:tbl>
          <w:p w14:paraId="2199EF57">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2、根据重庆市公租局</w:t>
            </w:r>
            <w:r>
              <w:rPr>
                <w:rFonts w:asciiTheme="majorEastAsia" w:hAnsiTheme="majorEastAsia" w:eastAsiaTheme="majorEastAsia" w:cstheme="majorEastAsia"/>
                <w:bCs/>
                <w:szCs w:val="21"/>
              </w:rPr>
              <w:t>《关于进一步明确市级公租房小区电梯日常保养和</w:t>
            </w:r>
            <w:r>
              <w:rPr>
                <w:rFonts w:hint="eastAsia" w:asciiTheme="majorEastAsia" w:hAnsiTheme="majorEastAsia" w:eastAsiaTheme="majorEastAsia" w:cstheme="majorEastAsia"/>
                <w:bCs/>
                <w:szCs w:val="21"/>
              </w:rPr>
              <w:t>维修</w:t>
            </w:r>
            <w:r>
              <w:rPr>
                <w:rFonts w:asciiTheme="majorEastAsia" w:hAnsiTheme="majorEastAsia" w:eastAsiaTheme="majorEastAsia" w:cstheme="majorEastAsia"/>
                <w:bCs/>
                <w:szCs w:val="21"/>
              </w:rPr>
              <w:t>包干服务相关工作的通知》（渝公租房【2024】25号）</w:t>
            </w:r>
            <w:r>
              <w:rPr>
                <w:rFonts w:hint="eastAsia" w:asciiTheme="majorEastAsia" w:hAnsiTheme="majorEastAsia" w:eastAsiaTheme="majorEastAsia" w:cstheme="majorEastAsia"/>
                <w:bCs/>
                <w:szCs w:val="21"/>
              </w:rPr>
              <w:t>文件，</w:t>
            </w:r>
            <w:r>
              <w:rPr>
                <w:rFonts w:asciiTheme="majorEastAsia" w:hAnsiTheme="majorEastAsia" w:eastAsiaTheme="majorEastAsia" w:cstheme="majorEastAsia"/>
                <w:bCs/>
                <w:szCs w:val="21"/>
              </w:rPr>
              <w:t>为及时开展小区电梯日常维修，确保维保质量，保障电梯安全运行，提高电梯管理服务水平，电梯包干维修中</w:t>
            </w:r>
            <w:r>
              <w:rPr>
                <w:rFonts w:hint="eastAsia" w:asciiTheme="majorEastAsia" w:hAnsiTheme="majorEastAsia" w:eastAsiaTheme="majorEastAsia" w:cstheme="majorEastAsia"/>
                <w:bCs/>
                <w:szCs w:val="21"/>
              </w:rPr>
              <w:t>标</w:t>
            </w:r>
            <w:r>
              <w:rPr>
                <w:rFonts w:asciiTheme="majorEastAsia" w:hAnsiTheme="majorEastAsia" w:eastAsiaTheme="majorEastAsia" w:cstheme="majorEastAsia"/>
                <w:bCs/>
                <w:szCs w:val="21"/>
              </w:rPr>
              <w:t>人自动获得电梯日常保养合同签约资格</w:t>
            </w:r>
            <w:r>
              <w:rPr>
                <w:rFonts w:hint="eastAsia" w:asciiTheme="majorEastAsia" w:hAnsiTheme="majorEastAsia" w:eastAsiaTheme="majorEastAsia" w:cstheme="majorEastAsia"/>
                <w:bCs/>
                <w:szCs w:val="21"/>
              </w:rPr>
              <w:t>，并根据《中华人民共和国民法典》《特种设备安全法》《重庆市电梯安全管理办法》有关规定，签订招标人（比选人）、物业公司、电梯企业三方服务合同。其中：电梯日常维保价格最高限价为350元/(台·月)，最终价格根据电梯日常维修包干服务招标实际中标（中选）价格同比例进行下浮，即：日常包干维修中标价格÷日常包干维修最高限价×350元，且此项费用不包含在包干维修费内，比选申请人不进行单独报价</w:t>
            </w:r>
            <w:r>
              <w:rPr>
                <w:rFonts w:asciiTheme="majorEastAsia" w:hAnsiTheme="majorEastAsia" w:eastAsiaTheme="majorEastAsia" w:cstheme="majorEastAsia"/>
                <w:bCs/>
                <w:szCs w:val="21"/>
              </w:rPr>
              <w:t>。</w:t>
            </w:r>
          </w:p>
          <w:p w14:paraId="0B67A7B7">
            <w:pPr>
              <w:widowControl/>
              <w:snapToGrid w:val="0"/>
              <w:spacing w:line="400" w:lineRule="exact"/>
              <w:ind w:firstLine="555"/>
              <w:jc w:val="left"/>
              <w:rPr>
                <w:b/>
              </w:rPr>
            </w:pPr>
            <w:r>
              <w:rPr>
                <w:rFonts w:hint="eastAsia" w:asciiTheme="majorEastAsia" w:hAnsiTheme="majorEastAsia" w:eastAsiaTheme="majorEastAsia" w:cstheme="majorEastAsia"/>
                <w:bCs/>
                <w:szCs w:val="21"/>
              </w:rPr>
              <w:t>招标（比选）工作结束后，</w:t>
            </w:r>
            <w:r>
              <w:rPr>
                <w:rFonts w:asciiTheme="majorEastAsia" w:hAnsiTheme="majorEastAsia" w:eastAsiaTheme="majorEastAsia" w:cstheme="majorEastAsia"/>
                <w:bCs/>
                <w:szCs w:val="21"/>
              </w:rPr>
              <w:t>由招标人（比选）、小区物业企业和</w:t>
            </w:r>
            <w:r>
              <w:rPr>
                <w:rFonts w:hint="eastAsia" w:asciiTheme="majorEastAsia" w:hAnsiTheme="majorEastAsia" w:eastAsiaTheme="majorEastAsia" w:cstheme="majorEastAsia"/>
                <w:bCs/>
                <w:szCs w:val="21"/>
              </w:rPr>
              <w:t>包干维修</w:t>
            </w:r>
            <w:r>
              <w:rPr>
                <w:rFonts w:asciiTheme="majorEastAsia" w:hAnsiTheme="majorEastAsia" w:eastAsiaTheme="majorEastAsia" w:cstheme="majorEastAsia"/>
                <w:bCs/>
                <w:szCs w:val="21"/>
              </w:rPr>
              <w:t>中标人签订电梯日常维保+包干维修组合合同。</w:t>
            </w:r>
          </w:p>
        </w:tc>
      </w:tr>
      <w:tr w14:paraId="5988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34363D7">
            <w:pPr>
              <w:snapToGrid w:val="0"/>
              <w:spacing w:line="400" w:lineRule="exact"/>
              <w:jc w:val="center"/>
              <w:rPr>
                <w:rFonts w:asciiTheme="majorEastAsia" w:hAnsiTheme="majorEastAsia" w:eastAsiaTheme="majorEastAsia" w:cstheme="majorEastAsia"/>
                <w:kern w:val="0"/>
                <w:szCs w:val="21"/>
              </w:rPr>
            </w:pPr>
            <w:bookmarkStart w:id="33" w:name="OLE_LINK165" w:colFirst="1" w:colLast="2"/>
            <w:bookmarkStart w:id="34" w:name="OLE_LINK163" w:colFirst="1" w:colLast="2"/>
            <w:bookmarkStart w:id="35" w:name="OLE_LINK168" w:colFirst="1" w:colLast="2"/>
            <w:bookmarkStart w:id="36" w:name="_Hlk529015819"/>
            <w:bookmarkStart w:id="37" w:name="OLE_LINK164" w:colFirst="1" w:colLast="2"/>
            <w:bookmarkStart w:id="38" w:name="OLE_LINK167" w:colFirst="1" w:colLast="2"/>
            <w:bookmarkStart w:id="39" w:name="OLE_LINK162" w:colFirst="1" w:colLast="2"/>
            <w:bookmarkStart w:id="40" w:name="OLE_LINK166" w:colFirst="1" w:colLast="2"/>
            <w:bookmarkStart w:id="41" w:name="OLE_LINK169" w:colFirst="1" w:colLast="2"/>
            <w:r>
              <w:rPr>
                <w:rFonts w:hint="eastAsia" w:asciiTheme="majorEastAsia" w:hAnsiTheme="majorEastAsia" w:eastAsiaTheme="majorEastAsia" w:cstheme="majorEastAsia"/>
                <w:kern w:val="0"/>
                <w:szCs w:val="21"/>
              </w:rPr>
              <w:t>3.3.1</w:t>
            </w:r>
          </w:p>
        </w:tc>
        <w:tc>
          <w:tcPr>
            <w:tcW w:w="1506" w:type="dxa"/>
            <w:vAlign w:val="center"/>
          </w:tcPr>
          <w:p w14:paraId="2AD48A8D">
            <w:pPr>
              <w:snapToGrid w:val="0"/>
              <w:spacing w:line="400" w:lineRule="exact"/>
              <w:jc w:val="center"/>
              <w:rPr>
                <w:rFonts w:asciiTheme="majorEastAsia" w:hAnsiTheme="majorEastAsia" w:eastAsiaTheme="majorEastAsia" w:cstheme="majorEastAsia"/>
                <w:kern w:val="0"/>
                <w:szCs w:val="21"/>
              </w:rPr>
            </w:pPr>
            <w:bookmarkStart w:id="42" w:name="OLE_LINK160"/>
            <w:bookmarkStart w:id="43" w:name="OLE_LINK161"/>
            <w:r>
              <w:rPr>
                <w:rFonts w:hint="eastAsia" w:asciiTheme="majorEastAsia" w:hAnsiTheme="majorEastAsia" w:eastAsiaTheme="majorEastAsia" w:cstheme="majorEastAsia"/>
                <w:kern w:val="0"/>
                <w:szCs w:val="21"/>
              </w:rPr>
              <w:t>比选申请有效期</w:t>
            </w:r>
            <w:bookmarkEnd w:id="42"/>
            <w:bookmarkEnd w:id="43"/>
          </w:p>
        </w:tc>
        <w:tc>
          <w:tcPr>
            <w:tcW w:w="7215" w:type="dxa"/>
            <w:vAlign w:val="center"/>
          </w:tcPr>
          <w:p w14:paraId="01DAC1DE">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90日历天（从提交比选申请文件截止日起计算）</w:t>
            </w:r>
          </w:p>
        </w:tc>
      </w:tr>
      <w:bookmarkEnd w:id="33"/>
      <w:bookmarkEnd w:id="34"/>
      <w:bookmarkEnd w:id="35"/>
      <w:bookmarkEnd w:id="36"/>
      <w:bookmarkEnd w:id="37"/>
      <w:bookmarkEnd w:id="38"/>
      <w:bookmarkEnd w:id="39"/>
      <w:bookmarkEnd w:id="40"/>
      <w:bookmarkEnd w:id="41"/>
      <w:tr w14:paraId="46D4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9EB706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3.4</w:t>
            </w:r>
          </w:p>
        </w:tc>
        <w:tc>
          <w:tcPr>
            <w:tcW w:w="1506" w:type="dxa"/>
            <w:vAlign w:val="center"/>
          </w:tcPr>
          <w:p w14:paraId="794F224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比选申请保证金</w:t>
            </w:r>
          </w:p>
        </w:tc>
        <w:tc>
          <w:tcPr>
            <w:tcW w:w="7215" w:type="dxa"/>
            <w:vAlign w:val="center"/>
          </w:tcPr>
          <w:p w14:paraId="0092EC07">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本项目</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保证金金额为：60000.00元人民币</w:t>
            </w:r>
          </w:p>
          <w:p w14:paraId="564BCE00">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保证金账户信息</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1701"/>
              <w:gridCol w:w="2800"/>
            </w:tblGrid>
            <w:tr w14:paraId="7554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14:paraId="1D7B04E8">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开户银行</w:t>
                  </w:r>
                </w:p>
              </w:tc>
              <w:tc>
                <w:tcPr>
                  <w:tcW w:w="1701" w:type="dxa"/>
                  <w:vAlign w:val="center"/>
                </w:tcPr>
                <w:p w14:paraId="4E81FB8E">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户名</w:t>
                  </w:r>
                </w:p>
              </w:tc>
              <w:tc>
                <w:tcPr>
                  <w:tcW w:w="2800" w:type="dxa"/>
                  <w:vAlign w:val="center"/>
                </w:tcPr>
                <w:p w14:paraId="231C9162">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账号</w:t>
                  </w:r>
                </w:p>
              </w:tc>
            </w:tr>
            <w:tr w14:paraId="755E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14:paraId="60F34264">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兴业银行重庆分行营业部</w:t>
                  </w:r>
                </w:p>
              </w:tc>
              <w:tc>
                <w:tcPr>
                  <w:tcW w:w="1701" w:type="dxa"/>
                  <w:vAlign w:val="center"/>
                </w:tcPr>
                <w:p w14:paraId="0E89B642">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重庆国际投资咨询集团有限公司</w:t>
                  </w:r>
                </w:p>
              </w:tc>
              <w:tc>
                <w:tcPr>
                  <w:tcW w:w="2800" w:type="dxa"/>
                  <w:vAlign w:val="center"/>
                </w:tcPr>
                <w:p w14:paraId="09CF365A">
                  <w:pPr>
                    <w:spacing w:line="400" w:lineRule="exact"/>
                    <w:jc w:val="center"/>
                    <w:rPr>
                      <w:rFonts w:asciiTheme="majorEastAsia" w:hAnsiTheme="majorEastAsia" w:eastAsiaTheme="majorEastAsia" w:cstheme="majorEastAsia"/>
                      <w:szCs w:val="20"/>
                    </w:rPr>
                  </w:pPr>
                  <w:r>
                    <w:rPr>
                      <w:rFonts w:hint="eastAsia" w:asciiTheme="majorEastAsia" w:hAnsiTheme="majorEastAsia" w:eastAsiaTheme="majorEastAsia" w:cstheme="majorEastAsia"/>
                      <w:szCs w:val="20"/>
                    </w:rPr>
                    <w:t>346010100105300879012536</w:t>
                  </w:r>
                </w:p>
              </w:tc>
            </w:tr>
          </w:tbl>
          <w:p w14:paraId="25686853">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注：</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保证金必须从</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人公司账户直接转（汇）入。转（汇）款到账截止时间（到账时间）为2025年9月15日10时00分（若本比选文件规定的</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文件递交截止时间顺延，则</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保证金到账截止时间相应顺延），以重庆国际投资咨询集团有限公司财务到账信息为准，否则</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无效。</w:t>
            </w:r>
          </w:p>
          <w:p w14:paraId="520A6244">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人须在付款凭证备注栏中注明是“</w:t>
            </w:r>
            <w:r>
              <w:rPr>
                <w:rFonts w:asciiTheme="majorEastAsia" w:hAnsiTheme="majorEastAsia" w:eastAsiaTheme="majorEastAsia" w:cstheme="majorEastAsia"/>
                <w:b/>
              </w:rPr>
              <w:t>城南家园电梯维修包干服务</w:t>
            </w:r>
            <w:r>
              <w:rPr>
                <w:rFonts w:hint="eastAsia" w:asciiTheme="majorEastAsia" w:hAnsiTheme="majorEastAsia" w:eastAsiaTheme="majorEastAsia" w:cstheme="majorEastAsia"/>
              </w:rPr>
              <w:t>”比选申请保证金。</w:t>
            </w:r>
          </w:p>
          <w:p w14:paraId="27CCAD68">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各</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人在转（汇）款时充分考虑银行转（汇）的时间差风险。</w:t>
            </w:r>
          </w:p>
        </w:tc>
      </w:tr>
      <w:tr w14:paraId="16BF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tcBorders>
            <w:vAlign w:val="center"/>
          </w:tcPr>
          <w:p w14:paraId="4D817A5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3.5</w:t>
            </w:r>
          </w:p>
        </w:tc>
        <w:tc>
          <w:tcPr>
            <w:tcW w:w="1506" w:type="dxa"/>
            <w:tcBorders>
              <w:top w:val="single" w:color="auto" w:sz="4" w:space="0"/>
            </w:tcBorders>
            <w:vAlign w:val="center"/>
          </w:tcPr>
          <w:p w14:paraId="2B266222">
            <w:pPr>
              <w:pStyle w:val="165"/>
              <w:spacing w:line="400" w:lineRule="exact"/>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资格审查资料</w:t>
            </w:r>
          </w:p>
        </w:tc>
        <w:tc>
          <w:tcPr>
            <w:tcW w:w="7215" w:type="dxa"/>
            <w:tcBorders>
              <w:top w:val="single" w:color="auto" w:sz="4" w:space="0"/>
            </w:tcBorders>
            <w:vAlign w:val="center"/>
          </w:tcPr>
          <w:p w14:paraId="33D3A541">
            <w:pPr>
              <w:spacing w:line="400" w:lineRule="exact"/>
              <w:ind w:firstLine="420" w:firstLineChars="200"/>
              <w:rPr>
                <w:rFonts w:asciiTheme="majorEastAsia" w:hAnsiTheme="majorEastAsia" w:eastAsiaTheme="majorEastAsia" w:cstheme="majorEastAsia"/>
                <w:szCs w:val="21"/>
              </w:rPr>
            </w:pPr>
            <w:bookmarkStart w:id="44" w:name="OLE_LINK105"/>
            <w:bookmarkStart w:id="45" w:name="OLE_LINK106"/>
            <w:r>
              <w:rPr>
                <w:rFonts w:hint="eastAsia" w:asciiTheme="majorEastAsia" w:hAnsiTheme="majorEastAsia" w:eastAsiaTheme="majorEastAsia" w:cstheme="majorEastAsia"/>
                <w:szCs w:val="21"/>
              </w:rPr>
              <w:t>按本章须知1.4.1项规定提供。</w:t>
            </w:r>
            <w:bookmarkEnd w:id="44"/>
            <w:bookmarkEnd w:id="45"/>
          </w:p>
        </w:tc>
      </w:tr>
      <w:tr w14:paraId="130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D19051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3.6</w:t>
            </w:r>
          </w:p>
        </w:tc>
        <w:tc>
          <w:tcPr>
            <w:tcW w:w="1506" w:type="dxa"/>
            <w:vAlign w:val="center"/>
          </w:tcPr>
          <w:p w14:paraId="279AFF5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是否允许递交备选比选申请方案</w:t>
            </w:r>
          </w:p>
        </w:tc>
        <w:tc>
          <w:tcPr>
            <w:tcW w:w="7215" w:type="dxa"/>
            <w:vAlign w:val="center"/>
          </w:tcPr>
          <w:p w14:paraId="1BC48E3D">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w:t>
            </w:r>
          </w:p>
        </w:tc>
      </w:tr>
      <w:tr w14:paraId="54DB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EFBD1FD">
            <w:pPr>
              <w:snapToGrid w:val="0"/>
              <w:spacing w:line="400" w:lineRule="exact"/>
              <w:jc w:val="center"/>
              <w:rPr>
                <w:rFonts w:ascii="宋体" w:hAnsi="宋体"/>
                <w:kern w:val="0"/>
                <w:szCs w:val="21"/>
              </w:rPr>
            </w:pPr>
            <w:r>
              <w:rPr>
                <w:rFonts w:hint="eastAsia" w:ascii="宋体" w:hAnsi="宋体"/>
                <w:kern w:val="0"/>
                <w:szCs w:val="21"/>
              </w:rPr>
              <w:t>3.7.1</w:t>
            </w:r>
          </w:p>
        </w:tc>
        <w:tc>
          <w:tcPr>
            <w:tcW w:w="1506" w:type="dxa"/>
            <w:vAlign w:val="center"/>
          </w:tcPr>
          <w:p w14:paraId="16495D57">
            <w:pPr>
              <w:snapToGrid w:val="0"/>
              <w:spacing w:after="72" w:afterLines="30" w:line="400" w:lineRule="exact"/>
              <w:jc w:val="center"/>
              <w:rPr>
                <w:rFonts w:ascii="宋体" w:hAnsi="宋体"/>
                <w:kern w:val="0"/>
                <w:szCs w:val="21"/>
              </w:rPr>
            </w:pPr>
            <w:r>
              <w:rPr>
                <w:rFonts w:hint="eastAsia" w:ascii="宋体" w:hAnsi="宋体"/>
                <w:kern w:val="0"/>
                <w:szCs w:val="21"/>
              </w:rPr>
              <w:t>比选申请文件格式要求</w:t>
            </w:r>
          </w:p>
        </w:tc>
        <w:tc>
          <w:tcPr>
            <w:tcW w:w="7215" w:type="dxa"/>
            <w:vAlign w:val="center"/>
          </w:tcPr>
          <w:p w14:paraId="5818023E">
            <w:pPr>
              <w:snapToGrid w:val="0"/>
              <w:spacing w:line="400" w:lineRule="exact"/>
              <w:ind w:firstLine="420" w:firstLineChars="200"/>
              <w:rPr>
                <w:rFonts w:ascii="宋体" w:hAnsi="宋体"/>
                <w:kern w:val="0"/>
                <w:szCs w:val="21"/>
              </w:rPr>
            </w:pPr>
            <w:r>
              <w:rPr>
                <w:rFonts w:hint="eastAsia" w:ascii="宋体" w:hAnsi="宋体"/>
                <w:kern w:val="0"/>
                <w:szCs w:val="21"/>
              </w:rPr>
              <w:t>编制比选申请文件时不得对第七章“比选申请文件格式”的相应要素作实质性修改，否则由评审小组作否决比选申请处理。</w:t>
            </w:r>
          </w:p>
        </w:tc>
      </w:tr>
      <w:tr w14:paraId="4624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383C4C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3.7.3</w:t>
            </w:r>
          </w:p>
        </w:tc>
        <w:tc>
          <w:tcPr>
            <w:tcW w:w="1506" w:type="dxa"/>
            <w:vAlign w:val="center"/>
          </w:tcPr>
          <w:p w14:paraId="149798A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签字盖章要求</w:t>
            </w:r>
          </w:p>
        </w:tc>
        <w:tc>
          <w:tcPr>
            <w:tcW w:w="7215" w:type="dxa"/>
            <w:vAlign w:val="center"/>
          </w:tcPr>
          <w:p w14:paraId="2EB74471">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按本章比选申请人须知3.7.3款执行。</w:t>
            </w:r>
          </w:p>
        </w:tc>
      </w:tr>
      <w:tr w14:paraId="6CD5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226C25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3.7.4</w:t>
            </w:r>
          </w:p>
        </w:tc>
        <w:tc>
          <w:tcPr>
            <w:tcW w:w="1506" w:type="dxa"/>
            <w:vAlign w:val="center"/>
          </w:tcPr>
          <w:p w14:paraId="5D8544F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比选申请文件的份数</w:t>
            </w:r>
          </w:p>
        </w:tc>
        <w:tc>
          <w:tcPr>
            <w:tcW w:w="7215" w:type="dxa"/>
            <w:vAlign w:val="center"/>
          </w:tcPr>
          <w:p w14:paraId="6E05E33B">
            <w:pPr>
              <w:tabs>
                <w:tab w:val="left" w:pos="1050"/>
                <w:tab w:val="left" w:pos="1470"/>
              </w:tabs>
              <w:adjustRightInd w:val="0"/>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1.比选申请人应准备比选申请文件的正本1份，副本</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份，并提供1个含全套电子比选申请文件的U盘（U盘须加盖单位公章）；在每一份比选申请文件上要明确注明“正本”和“副本”，一旦正本和副本有不一致之处，以正本为准。副本可以为正本的复印件。</w:t>
            </w:r>
          </w:p>
          <w:p w14:paraId="3A0E2A77">
            <w:pPr>
              <w:autoSpaceDE w:val="0"/>
              <w:autoSpaceDN w:val="0"/>
              <w:adjustRightInd w:val="0"/>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2.比选申请文件的正本和副本均应使用打印机打印或用不能轻易擦去且不易褪色的档案墨水书写，比选申请文件的副本也可用复印机复制。不论是书写、打印或复制，均应做到清晰、整洁、规范。</w:t>
            </w:r>
          </w:p>
          <w:p w14:paraId="1EC90F3A">
            <w:pPr>
              <w:adjustRightInd w:val="0"/>
              <w:snapToGrid w:val="0"/>
              <w:spacing w:line="400" w:lineRule="exact"/>
              <w:ind w:firstLine="422" w:firstLineChars="200"/>
              <w:rPr>
                <w:rFonts w:asciiTheme="majorEastAsia" w:hAnsiTheme="majorEastAsia" w:eastAsiaTheme="majorEastAsia" w:cstheme="majorEastAsia"/>
                <w:b/>
              </w:rPr>
            </w:pPr>
            <w:r>
              <w:rPr>
                <w:rFonts w:hint="eastAsia" w:asciiTheme="majorEastAsia" w:hAnsiTheme="majorEastAsia" w:eastAsiaTheme="majorEastAsia" w:cstheme="majorEastAsia"/>
                <w:b/>
              </w:rPr>
              <w:t>注：1、U盘加盖单位公章不作为否决比选申请条件，请各比选申请人配合盖章。</w:t>
            </w:r>
          </w:p>
          <w:p w14:paraId="71AE3C3B">
            <w:pPr>
              <w:adjustRightInd w:val="0"/>
              <w:snapToGrid w:val="0"/>
              <w:spacing w:line="400" w:lineRule="exact"/>
              <w:ind w:firstLine="422"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rPr>
              <w:t>2、中选后，中选人应按比选人要求的份数向比选人提供比选申请文件副本。</w:t>
            </w:r>
          </w:p>
        </w:tc>
      </w:tr>
      <w:tr w14:paraId="4FF0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451F0F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3.7.5</w:t>
            </w:r>
          </w:p>
        </w:tc>
        <w:tc>
          <w:tcPr>
            <w:tcW w:w="1506" w:type="dxa"/>
            <w:vAlign w:val="center"/>
          </w:tcPr>
          <w:p w14:paraId="288092F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装订要求</w:t>
            </w:r>
          </w:p>
        </w:tc>
        <w:tc>
          <w:tcPr>
            <w:tcW w:w="7215" w:type="dxa"/>
            <w:vAlign w:val="center"/>
          </w:tcPr>
          <w:p w14:paraId="2E96A932">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比选申请人应将比选申请文件正副本分别装订成册。</w:t>
            </w:r>
          </w:p>
          <w:p w14:paraId="4CC30FF0">
            <w:pPr>
              <w:tabs>
                <w:tab w:val="left" w:pos="1050"/>
                <w:tab w:val="left" w:pos="1470"/>
              </w:tabs>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1.比选申请文件须装订成一册，并应编制目录、标注页码，若装订过厚，也可分订成多册。</w:t>
            </w:r>
          </w:p>
          <w:p w14:paraId="34C5DBE4">
            <w:pPr>
              <w:tabs>
                <w:tab w:val="left" w:pos="1050"/>
                <w:tab w:val="left" w:pos="1470"/>
              </w:tabs>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2.比选申请文件分为正本和副本，正本文件内签字和盖章须为原件。副本可为正本的复印件。</w:t>
            </w:r>
          </w:p>
          <w:p w14:paraId="3F1BA930">
            <w:pPr>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3.比选申请文件中已提供了比选申请文件格式的部分，须按其格式填写和提供。</w:t>
            </w:r>
          </w:p>
          <w:p w14:paraId="5E88E85C">
            <w:pPr>
              <w:spacing w:line="400" w:lineRule="exact"/>
              <w:ind w:firstLine="422" w:firstLineChars="200"/>
              <w:rPr>
                <w:rFonts w:asciiTheme="majorEastAsia" w:hAnsiTheme="majorEastAsia" w:eastAsiaTheme="majorEastAsia" w:cstheme="majorEastAsia"/>
              </w:rPr>
            </w:pPr>
            <w:r>
              <w:rPr>
                <w:rFonts w:hint="eastAsia" w:asciiTheme="majorEastAsia" w:hAnsiTheme="majorEastAsia" w:eastAsiaTheme="majorEastAsia" w:cstheme="majorEastAsia"/>
                <w:b/>
                <w:szCs w:val="21"/>
              </w:rPr>
              <w:t>注：为保护环境和防止资源浪费，比选申请文件建议双面打印。</w:t>
            </w:r>
          </w:p>
        </w:tc>
      </w:tr>
      <w:tr w14:paraId="514A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9A32D2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4.1.1</w:t>
            </w:r>
          </w:p>
        </w:tc>
        <w:tc>
          <w:tcPr>
            <w:tcW w:w="1506" w:type="dxa"/>
            <w:vAlign w:val="center"/>
          </w:tcPr>
          <w:p w14:paraId="0EF6E2E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比选申请文件的密封</w:t>
            </w:r>
          </w:p>
        </w:tc>
        <w:tc>
          <w:tcPr>
            <w:tcW w:w="7215" w:type="dxa"/>
            <w:vAlign w:val="center"/>
          </w:tcPr>
          <w:p w14:paraId="3F1FA057">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文件袋使用</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人自备的“比选申请文件”袋（箱）。</w:t>
            </w:r>
          </w:p>
          <w:p w14:paraId="6AF31B49">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文件》与电子版文件一起装入“比选申请文件”袋（箱）中，密封并在袋上加盖比选申请人单位公章（鲜章）。</w:t>
            </w:r>
          </w:p>
          <w:p w14:paraId="1A453577">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3.“比选申请文件”袋（箱）应按本表第4.1.2项的规定写明相应内容。</w:t>
            </w:r>
          </w:p>
          <w:p w14:paraId="6D79F92F">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w:t>
            </w:r>
            <w:r>
              <w:rPr>
                <w:rFonts w:hint="eastAsia" w:ascii="宋体" w:hAnsi="宋体" w:cs="宋体"/>
                <w:kern w:val="0"/>
                <w:szCs w:val="21"/>
              </w:rPr>
              <w:t>⑴</w:t>
            </w:r>
            <w:r>
              <w:rPr>
                <w:rFonts w:hint="eastAsia" w:asciiTheme="majorEastAsia" w:hAnsiTheme="majorEastAsia" w:eastAsiaTheme="majorEastAsia" w:cstheme="majorEastAsia"/>
                <w:kern w:val="0"/>
                <w:szCs w:val="21"/>
              </w:rPr>
              <w:t>如</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文件较厚，上述</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文件不能装入相应的一个袋（箱）中，</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人可按上述要求增加比选申请文件袋（箱）。</w:t>
            </w:r>
          </w:p>
          <w:p w14:paraId="7932DD6D">
            <w:pPr>
              <w:snapToGrid w:val="0"/>
              <w:spacing w:line="400" w:lineRule="exact"/>
              <w:ind w:firstLine="420" w:firstLineChars="200"/>
              <w:rPr>
                <w:rFonts w:asciiTheme="majorEastAsia" w:hAnsiTheme="majorEastAsia" w:eastAsiaTheme="majorEastAsia" w:cstheme="majorEastAsia"/>
                <w:szCs w:val="21"/>
              </w:rPr>
            </w:pPr>
            <w:r>
              <w:rPr>
                <w:rFonts w:hint="eastAsia" w:ascii="宋体" w:hAnsi="宋体" w:cs="宋体"/>
                <w:kern w:val="0"/>
                <w:szCs w:val="21"/>
              </w:rPr>
              <w:t>⑵</w:t>
            </w:r>
            <w:r>
              <w:rPr>
                <w:rFonts w:hint="eastAsia" w:asciiTheme="majorEastAsia" w:hAnsiTheme="majorEastAsia" w:eastAsiaTheme="majorEastAsia" w:cstheme="majorEastAsia"/>
                <w:kern w:val="0"/>
                <w:szCs w:val="21"/>
              </w:rPr>
              <w:t>比选申请文件袋可由</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人自制，也可采用盒（箱）装的形式，但需满足相关密封及标记要求。</w:t>
            </w:r>
          </w:p>
        </w:tc>
      </w:tr>
      <w:tr w14:paraId="4196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976ED5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4.1.2</w:t>
            </w:r>
          </w:p>
        </w:tc>
        <w:tc>
          <w:tcPr>
            <w:tcW w:w="1506" w:type="dxa"/>
            <w:vAlign w:val="center"/>
          </w:tcPr>
          <w:p w14:paraId="2B7E20D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封套上写明</w:t>
            </w:r>
          </w:p>
        </w:tc>
        <w:tc>
          <w:tcPr>
            <w:tcW w:w="7215" w:type="dxa"/>
            <w:vAlign w:val="center"/>
          </w:tcPr>
          <w:p w14:paraId="58E78B03">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应在“比选申请文件”袋的封套上写明如下内容：</w:t>
            </w:r>
          </w:p>
          <w:p w14:paraId="3AE9AFC3">
            <w:pPr>
              <w:spacing w:line="440" w:lineRule="exact"/>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比选人名称：</w:t>
            </w:r>
            <w:r>
              <w:rPr>
                <w:rFonts w:hint="eastAsia" w:asciiTheme="majorEastAsia" w:hAnsiTheme="majorEastAsia" w:eastAsiaTheme="majorEastAsia" w:cstheme="majorEastAsia"/>
                <w:szCs w:val="21"/>
                <w:u w:val="single"/>
              </w:rPr>
              <w:t xml:space="preserve">                   </w:t>
            </w:r>
          </w:p>
          <w:p w14:paraId="7738FEEA">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(项目名称)</w:t>
            </w:r>
            <w:r>
              <w:rPr>
                <w:rFonts w:hint="eastAsia" w:asciiTheme="majorEastAsia" w:hAnsiTheme="majorEastAsia" w:eastAsiaTheme="majorEastAsia" w:cstheme="majorEastAsia"/>
                <w:szCs w:val="21"/>
              </w:rPr>
              <w:t>比选申请文件</w:t>
            </w:r>
          </w:p>
          <w:p w14:paraId="7BAEF04C">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时</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分（规定的开标时间）前不得开启</w:t>
            </w:r>
          </w:p>
          <w:p w14:paraId="38885CD3">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比选申请人名称：</w:t>
            </w:r>
            <w:r>
              <w:rPr>
                <w:rFonts w:hint="eastAsia" w:asciiTheme="majorEastAsia" w:hAnsiTheme="majorEastAsia" w:eastAsiaTheme="majorEastAsia" w:cstheme="majorEastAsia"/>
                <w:szCs w:val="21"/>
                <w:u w:val="single"/>
              </w:rPr>
              <w:t xml:space="preserve">                  </w:t>
            </w:r>
          </w:p>
        </w:tc>
      </w:tr>
      <w:tr w14:paraId="0A0D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CCAD4C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4.2.2</w:t>
            </w:r>
          </w:p>
        </w:tc>
        <w:tc>
          <w:tcPr>
            <w:tcW w:w="1506" w:type="dxa"/>
            <w:vAlign w:val="center"/>
          </w:tcPr>
          <w:p w14:paraId="39C0618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递交比选申请文件地点和时间</w:t>
            </w:r>
          </w:p>
        </w:tc>
        <w:tc>
          <w:tcPr>
            <w:tcW w:w="7215" w:type="dxa"/>
            <w:vAlign w:val="center"/>
          </w:tcPr>
          <w:p w14:paraId="535A3F5D">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递交时间：同比选申请截止时间</w:t>
            </w:r>
          </w:p>
          <w:p w14:paraId="2E080C57">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递交地点：</w:t>
            </w:r>
            <w:r>
              <w:rPr>
                <w:rFonts w:hint="eastAsia" w:asciiTheme="majorEastAsia" w:hAnsiTheme="majorEastAsia" w:eastAsiaTheme="majorEastAsia" w:cstheme="majorEastAsia"/>
                <w:snapToGrid w:val="0"/>
              </w:rPr>
              <w:t>重庆咨询大厦开标大厅（重庆市江北区五简路</w:t>
            </w:r>
            <w:r>
              <w:rPr>
                <w:rFonts w:asciiTheme="majorEastAsia" w:hAnsiTheme="majorEastAsia" w:eastAsiaTheme="majorEastAsia" w:cstheme="majorEastAsia"/>
                <w:snapToGrid w:val="0"/>
              </w:rPr>
              <w:t>2号重庆咨询大厦）</w:t>
            </w:r>
            <w:r>
              <w:rPr>
                <w:rFonts w:hint="eastAsia" w:asciiTheme="majorEastAsia" w:hAnsiTheme="majorEastAsia" w:eastAsiaTheme="majorEastAsia" w:cstheme="majorEastAsia"/>
                <w:kern w:val="0"/>
                <w:szCs w:val="21"/>
              </w:rPr>
              <w:t>。</w:t>
            </w:r>
            <w:r>
              <w:rPr>
                <w:rFonts w:hint="eastAsia" w:ascii="宋体" w:hAnsi="宋体"/>
                <w:bCs/>
                <w:szCs w:val="21"/>
              </w:rPr>
              <w:t>具体接标处详见开标当天</w:t>
            </w:r>
            <w:r>
              <w:rPr>
                <w:rFonts w:ascii="宋体" w:hAnsi="宋体"/>
                <w:bCs/>
                <w:szCs w:val="21"/>
              </w:rPr>
              <w:t>A栋负一楼大厅电子显示屏上交易日程安排。</w:t>
            </w:r>
          </w:p>
          <w:p w14:paraId="3A9700A8">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未按时将比选申请文件送达指定地点，比选人应拒收。</w:t>
            </w:r>
          </w:p>
        </w:tc>
      </w:tr>
      <w:tr w14:paraId="53E7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F38513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4.2.3</w:t>
            </w:r>
          </w:p>
        </w:tc>
        <w:tc>
          <w:tcPr>
            <w:tcW w:w="1506" w:type="dxa"/>
            <w:vAlign w:val="center"/>
          </w:tcPr>
          <w:p w14:paraId="427088A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是否退还比选申请文件</w:t>
            </w:r>
          </w:p>
        </w:tc>
        <w:tc>
          <w:tcPr>
            <w:tcW w:w="7215" w:type="dxa"/>
            <w:vAlign w:val="center"/>
          </w:tcPr>
          <w:p w14:paraId="179D5C6A">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否</w:t>
            </w:r>
          </w:p>
        </w:tc>
      </w:tr>
      <w:tr w14:paraId="223C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FE233F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5.1</w:t>
            </w:r>
          </w:p>
        </w:tc>
        <w:tc>
          <w:tcPr>
            <w:tcW w:w="1506" w:type="dxa"/>
            <w:vAlign w:val="center"/>
          </w:tcPr>
          <w:p w14:paraId="685B025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开启比选申请文件时间和地点</w:t>
            </w:r>
          </w:p>
        </w:tc>
        <w:tc>
          <w:tcPr>
            <w:tcW w:w="7215" w:type="dxa"/>
            <w:vAlign w:val="center"/>
          </w:tcPr>
          <w:p w14:paraId="75E85397">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开启比选申请文件时间：同比选申请截止时间</w:t>
            </w:r>
          </w:p>
          <w:p w14:paraId="7606FE6B">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开启比选申请文件地点：</w:t>
            </w:r>
            <w:r>
              <w:rPr>
                <w:rFonts w:hint="eastAsia" w:asciiTheme="majorEastAsia" w:hAnsiTheme="majorEastAsia" w:eastAsiaTheme="majorEastAsia" w:cstheme="majorEastAsia"/>
                <w:snapToGrid w:val="0"/>
              </w:rPr>
              <w:t>重庆咨询大厦开标大厅（重庆市江北区五简路</w:t>
            </w:r>
            <w:r>
              <w:rPr>
                <w:rFonts w:asciiTheme="majorEastAsia" w:hAnsiTheme="majorEastAsia" w:eastAsiaTheme="majorEastAsia" w:cstheme="majorEastAsia"/>
                <w:snapToGrid w:val="0"/>
              </w:rPr>
              <w:t>2号重庆咨询大厦）</w:t>
            </w:r>
            <w:r>
              <w:rPr>
                <w:rFonts w:hint="eastAsia" w:asciiTheme="majorEastAsia" w:hAnsiTheme="majorEastAsia" w:eastAsiaTheme="majorEastAsia" w:cstheme="majorEastAsia"/>
                <w:kern w:val="0"/>
                <w:szCs w:val="21"/>
              </w:rPr>
              <w:t>。</w:t>
            </w:r>
            <w:r>
              <w:rPr>
                <w:rFonts w:hint="eastAsia" w:ascii="宋体" w:hAnsi="宋体"/>
                <w:bCs/>
                <w:szCs w:val="21"/>
              </w:rPr>
              <w:t>具体接标处详见开标当天</w:t>
            </w:r>
            <w:r>
              <w:rPr>
                <w:rFonts w:ascii="宋体" w:hAnsi="宋体"/>
                <w:bCs/>
                <w:szCs w:val="21"/>
              </w:rPr>
              <w:t>A栋负一楼大厅电子显示屏上交易日程安排。</w:t>
            </w:r>
          </w:p>
        </w:tc>
      </w:tr>
      <w:tr w14:paraId="31EF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3C3F332">
            <w:pPr>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5.2</w:t>
            </w:r>
          </w:p>
        </w:tc>
        <w:tc>
          <w:tcPr>
            <w:tcW w:w="1506" w:type="dxa"/>
            <w:vAlign w:val="center"/>
          </w:tcPr>
          <w:p w14:paraId="2A9EF116">
            <w:pPr>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开启比选申请文件程序</w:t>
            </w:r>
          </w:p>
        </w:tc>
        <w:tc>
          <w:tcPr>
            <w:tcW w:w="7215" w:type="dxa"/>
            <w:vAlign w:val="center"/>
          </w:tcPr>
          <w:p w14:paraId="5CAC3DB0">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主持人按下列程序进行开启比选申请文件：</w:t>
            </w:r>
          </w:p>
          <w:p w14:paraId="3D0F21B4">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1.宣布比选申请纪律；</w:t>
            </w:r>
          </w:p>
          <w:p w14:paraId="451D5FB8">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2.宣布开启比选申请文件人、唱标人、记录人、监督人等有关人员姓名；</w:t>
            </w:r>
          </w:p>
          <w:p w14:paraId="252E2E1D">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3.公布在递交比选申请文件截止时间前递交比选申请文件的比选申请人名称，并点名确认比选申请人是否派人到场；</w:t>
            </w:r>
          </w:p>
          <w:p w14:paraId="2E84C510">
            <w:pPr>
              <w:autoSpaceDE w:val="0"/>
              <w:autoSpaceDN w:val="0"/>
              <w:adjustRightInd w:val="0"/>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4.展示比选申请保证金缴款情况（如有）</w:t>
            </w:r>
            <w:r>
              <w:rPr>
                <w:rFonts w:hint="eastAsia" w:ascii="宋体" w:hAnsi="宋体"/>
                <w:szCs w:val="21"/>
              </w:rPr>
              <w:t>；如未按3.4.1要求递交</w:t>
            </w:r>
            <w:r>
              <w:rPr>
                <w:rFonts w:hint="eastAsia" w:ascii="宋体" w:hAnsi="宋体"/>
                <w:szCs w:val="21"/>
                <w:lang w:eastAsia="zh-Hans"/>
              </w:rPr>
              <w:t>比选申请</w:t>
            </w:r>
            <w:r>
              <w:rPr>
                <w:rFonts w:hint="eastAsia" w:ascii="宋体" w:hAnsi="宋体"/>
                <w:szCs w:val="21"/>
              </w:rPr>
              <w:t>保证金的，开标现场记录在案，交由</w:t>
            </w:r>
            <w:r>
              <w:rPr>
                <w:rFonts w:hint="eastAsia" w:ascii="宋体" w:hAnsi="宋体"/>
                <w:szCs w:val="21"/>
                <w:lang w:eastAsia="zh-Hans"/>
              </w:rPr>
              <w:t>评审小组</w:t>
            </w:r>
            <w:r>
              <w:rPr>
                <w:rFonts w:hint="eastAsia" w:ascii="宋体" w:hAnsi="宋体"/>
                <w:szCs w:val="21"/>
              </w:rPr>
              <w:t>判定；</w:t>
            </w:r>
          </w:p>
          <w:p w14:paraId="0CB338D6">
            <w:pPr>
              <w:widowControl/>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5.密封情况检查：比选申请人或者其推选的代表检查比选申请文件的密封情况并确认。</w:t>
            </w:r>
          </w:p>
          <w:p w14:paraId="701CD47D">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6.公布最高限价；</w:t>
            </w:r>
          </w:p>
          <w:p w14:paraId="0A604705">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7.开启比选申请文件顺序：随机开启；</w:t>
            </w:r>
          </w:p>
          <w:p w14:paraId="14C797ED">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8.当众随机开启“比选申请文件”袋，公布比选申请人名称、比选申请报价及</w:t>
            </w:r>
            <w:r>
              <w:rPr>
                <w:rFonts w:hint="eastAsia" w:asciiTheme="majorEastAsia" w:hAnsiTheme="majorEastAsia" w:eastAsiaTheme="majorEastAsia" w:cstheme="majorEastAsia"/>
                <w:szCs w:val="21"/>
              </w:rPr>
              <w:t>质量目标、工期及其他内容；并有关人员在开标记录上签字确认后送评审小组评审；</w:t>
            </w:r>
          </w:p>
          <w:p w14:paraId="1737C3D1">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9.比选申请人代表、比选人代表、监督人、记录人等有关人员在开启比选申请文件记录上签字确认；</w:t>
            </w:r>
          </w:p>
          <w:p w14:paraId="629ECF42">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10.比选申请会结束。</w:t>
            </w:r>
          </w:p>
        </w:tc>
      </w:tr>
      <w:tr w14:paraId="144C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DF6ABE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6.1.1</w:t>
            </w:r>
          </w:p>
        </w:tc>
        <w:tc>
          <w:tcPr>
            <w:tcW w:w="1506" w:type="dxa"/>
            <w:vAlign w:val="center"/>
          </w:tcPr>
          <w:p w14:paraId="63FD6E26">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评审小组的</w:t>
            </w:r>
          </w:p>
          <w:p w14:paraId="214F4970">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组建</w:t>
            </w:r>
          </w:p>
        </w:tc>
        <w:tc>
          <w:tcPr>
            <w:tcW w:w="7215" w:type="dxa"/>
            <w:vAlign w:val="center"/>
          </w:tcPr>
          <w:p w14:paraId="204E432F">
            <w:pPr>
              <w:snapToGrid w:val="0"/>
              <w:spacing w:line="400" w:lineRule="exact"/>
              <w:ind w:firstLine="436" w:firstLineChars="200"/>
              <w:rPr>
                <w:rFonts w:asciiTheme="majorEastAsia" w:hAnsiTheme="majorEastAsia" w:eastAsiaTheme="majorEastAsia" w:cstheme="majorEastAsia"/>
                <w:kern w:val="0"/>
                <w:szCs w:val="21"/>
              </w:rPr>
            </w:pPr>
            <w:r>
              <w:rPr>
                <w:rFonts w:hint="eastAsia" w:ascii="宋体" w:hAnsi="宋体"/>
                <w:spacing w:val="4"/>
                <w:kern w:val="0"/>
                <w:szCs w:val="21"/>
              </w:rPr>
              <w:t>由比选人按法律法规及相关规定依法组建评审小组</w:t>
            </w:r>
            <w:r>
              <w:rPr>
                <w:rFonts w:hint="eastAsia" w:ascii="宋体" w:hAnsi="宋体"/>
                <w:kern w:val="0"/>
                <w:szCs w:val="21"/>
              </w:rPr>
              <w:t>。</w:t>
            </w:r>
          </w:p>
        </w:tc>
      </w:tr>
      <w:tr w14:paraId="466B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24D3CD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7.1</w:t>
            </w:r>
          </w:p>
        </w:tc>
        <w:tc>
          <w:tcPr>
            <w:tcW w:w="1506" w:type="dxa"/>
            <w:vAlign w:val="center"/>
          </w:tcPr>
          <w:p w14:paraId="16416C37">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是否授权评审小组确定中选候选人</w:t>
            </w:r>
          </w:p>
        </w:tc>
        <w:tc>
          <w:tcPr>
            <w:tcW w:w="7215" w:type="dxa"/>
            <w:vAlign w:val="center"/>
          </w:tcPr>
          <w:p w14:paraId="642A0218">
            <w:pPr>
              <w:snapToGrid w:val="0"/>
              <w:spacing w:line="400" w:lineRule="exact"/>
              <w:ind w:firstLine="420" w:firstLineChars="200"/>
              <w:rPr>
                <w:rFonts w:asciiTheme="majorEastAsia" w:hAnsiTheme="majorEastAsia" w:eastAsiaTheme="majorEastAsia" w:cstheme="majorEastAsia"/>
                <w:kern w:val="0"/>
                <w:szCs w:val="21"/>
              </w:rPr>
            </w:pPr>
            <w:r>
              <w:rPr>
                <w:rFonts w:ascii="宋体" w:hAnsi="宋体"/>
                <w:kern w:val="0"/>
                <w:szCs w:val="21"/>
              </w:rPr>
              <w:t>否，推荐经评审综合得分由高到低排名前三名为</w:t>
            </w:r>
            <w:r>
              <w:rPr>
                <w:rFonts w:hint="eastAsia" w:ascii="宋体" w:hAnsi="宋体"/>
                <w:kern w:val="0"/>
                <w:szCs w:val="21"/>
              </w:rPr>
              <w:t>中选候选人</w:t>
            </w:r>
            <w:r>
              <w:rPr>
                <w:rFonts w:ascii="宋体" w:hAnsi="宋体"/>
                <w:kern w:val="0"/>
                <w:szCs w:val="21"/>
              </w:rPr>
              <w:t>。</w:t>
            </w:r>
          </w:p>
        </w:tc>
      </w:tr>
      <w:tr w14:paraId="755F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A06BAA">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7.2</w:t>
            </w:r>
          </w:p>
        </w:tc>
        <w:tc>
          <w:tcPr>
            <w:tcW w:w="1506" w:type="dxa"/>
            <w:vAlign w:val="center"/>
          </w:tcPr>
          <w:p w14:paraId="53BF20C2">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评审结果公示</w:t>
            </w:r>
          </w:p>
        </w:tc>
        <w:tc>
          <w:tcPr>
            <w:tcW w:w="7215" w:type="dxa"/>
            <w:vAlign w:val="center"/>
          </w:tcPr>
          <w:p w14:paraId="1BB44ED4">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同时在</w:t>
            </w:r>
            <w:r>
              <w:rPr>
                <w:rFonts w:hint="eastAsia" w:asciiTheme="majorEastAsia" w:hAnsiTheme="majorEastAsia" w:eastAsiaTheme="majorEastAsia" w:cstheme="majorEastAsia"/>
                <w:szCs w:val="21"/>
              </w:rPr>
              <w:t>“重庆国际投资咨询集团有限公司”官网、“重庆渝开发股份有限公司”官网、“中国采购与招标网”官网、重庆渝开发物业管理有限公司办公地点公告栏</w:t>
            </w:r>
            <w:r>
              <w:rPr>
                <w:rFonts w:hint="eastAsia" w:asciiTheme="majorEastAsia" w:hAnsiTheme="majorEastAsia" w:eastAsiaTheme="majorEastAsia" w:cstheme="majorEastAsia"/>
                <w:snapToGrid w:val="0"/>
              </w:rPr>
              <w:t>上</w:t>
            </w:r>
            <w:r>
              <w:rPr>
                <w:rFonts w:hint="eastAsia" w:asciiTheme="majorEastAsia" w:hAnsiTheme="majorEastAsia" w:eastAsiaTheme="majorEastAsia" w:cstheme="majorEastAsia"/>
                <w:kern w:val="0"/>
                <w:szCs w:val="21"/>
              </w:rPr>
              <w:t>进行公示，公示期为3日。</w:t>
            </w:r>
          </w:p>
        </w:tc>
      </w:tr>
      <w:tr w14:paraId="1AB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955F15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7.3.1</w:t>
            </w:r>
          </w:p>
        </w:tc>
        <w:tc>
          <w:tcPr>
            <w:tcW w:w="1506" w:type="dxa"/>
            <w:vAlign w:val="center"/>
          </w:tcPr>
          <w:p w14:paraId="28F2A05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履约担保</w:t>
            </w:r>
          </w:p>
        </w:tc>
        <w:tc>
          <w:tcPr>
            <w:tcW w:w="7215" w:type="dxa"/>
            <w:vAlign w:val="center"/>
          </w:tcPr>
          <w:p w14:paraId="4E519479">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1.中选人是否提供履约保证金：</w:t>
            </w:r>
            <w:r>
              <w:rPr>
                <w:rFonts w:hint="eastAsia" w:asciiTheme="majorEastAsia" w:hAnsiTheme="majorEastAsia" w:eastAsiaTheme="majorEastAsia" w:cstheme="majorEastAsia"/>
                <w:b/>
                <w:kern w:val="0"/>
                <w:szCs w:val="21"/>
              </w:rPr>
              <w:t>提供</w:t>
            </w:r>
            <w:r>
              <w:rPr>
                <w:rFonts w:hint="eastAsia" w:asciiTheme="majorEastAsia" w:hAnsiTheme="majorEastAsia" w:eastAsiaTheme="majorEastAsia" w:cstheme="majorEastAsia"/>
                <w:kern w:val="0"/>
                <w:szCs w:val="21"/>
              </w:rPr>
              <w:t>。</w:t>
            </w:r>
          </w:p>
          <w:p w14:paraId="79EB7448">
            <w:pPr>
              <w:snapToGrid w:val="0"/>
              <w:spacing w:line="400" w:lineRule="exact"/>
              <w:ind w:firstLine="420" w:firstLineChars="200"/>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kern w:val="0"/>
                <w:szCs w:val="21"/>
              </w:rPr>
              <w:t>2.履约保证金金额：</w:t>
            </w:r>
            <w:r>
              <w:rPr>
                <w:rFonts w:hint="eastAsia" w:asciiTheme="majorEastAsia" w:hAnsiTheme="majorEastAsia" w:eastAsiaTheme="majorEastAsia" w:cstheme="majorEastAsia"/>
                <w:b/>
                <w:bCs/>
                <w:kern w:val="0"/>
                <w:szCs w:val="21"/>
              </w:rPr>
              <w:t>中选金额的10%</w:t>
            </w:r>
            <w:r>
              <w:rPr>
                <w:rFonts w:hint="eastAsia" w:asciiTheme="majorEastAsia" w:hAnsiTheme="majorEastAsia" w:eastAsiaTheme="majorEastAsia" w:cstheme="majorEastAsia"/>
                <w:bCs/>
                <w:kern w:val="0"/>
                <w:szCs w:val="21"/>
              </w:rPr>
              <w:t>。</w:t>
            </w:r>
          </w:p>
          <w:p w14:paraId="7DA50D81">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3.递交时间：合同签订前，中选人以银行转账的方式一次性向比选人支付履约保证金。</w:t>
            </w:r>
          </w:p>
          <w:p w14:paraId="7CA111A8">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4.递交方式：银行转账。</w:t>
            </w:r>
          </w:p>
          <w:p w14:paraId="2F211E53">
            <w:pPr>
              <w:snapToGrid w:val="0"/>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kern w:val="0"/>
                <w:szCs w:val="21"/>
              </w:rPr>
              <w:t>5.合同期满无遗留问题后无息退还。</w:t>
            </w:r>
          </w:p>
        </w:tc>
      </w:tr>
      <w:tr w14:paraId="094D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8A4EC5A">
            <w:pPr>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7.4</w:t>
            </w:r>
          </w:p>
        </w:tc>
        <w:tc>
          <w:tcPr>
            <w:tcW w:w="1506" w:type="dxa"/>
            <w:vAlign w:val="center"/>
          </w:tcPr>
          <w:p w14:paraId="22BB9BA8">
            <w:pPr>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签订合同</w:t>
            </w:r>
          </w:p>
        </w:tc>
        <w:tc>
          <w:tcPr>
            <w:tcW w:w="7215" w:type="dxa"/>
            <w:vAlign w:val="center"/>
          </w:tcPr>
          <w:p w14:paraId="0BFC8C69">
            <w:pPr>
              <w:adjustRightInd w:val="0"/>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比选人和中选人应当自中选通知书发出之日起30天内，根据竞争性比选文件和中选人的比选申请文件订立书面合同。中选人无正当理由拒签合同的，比选人取消其中选资格，其比选申请保证金不予退还；给比选人造成的损失超过比选申请保证金数额的，中选人还应当对超过部分予以赔偿</w:t>
            </w:r>
            <w:r>
              <w:rPr>
                <w:rFonts w:hint="eastAsia" w:asciiTheme="majorEastAsia" w:hAnsiTheme="majorEastAsia" w:eastAsiaTheme="majorEastAsia" w:cstheme="majorEastAsia"/>
                <w:szCs w:val="21"/>
              </w:rPr>
              <w:t>。</w:t>
            </w:r>
          </w:p>
        </w:tc>
      </w:tr>
      <w:tr w14:paraId="3BD6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7D6E3B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8.2</w:t>
            </w:r>
          </w:p>
        </w:tc>
        <w:tc>
          <w:tcPr>
            <w:tcW w:w="1506" w:type="dxa"/>
            <w:vAlign w:val="center"/>
          </w:tcPr>
          <w:p w14:paraId="5B62152F">
            <w:pPr>
              <w:snapToGrid w:val="0"/>
              <w:spacing w:line="400" w:lineRule="exact"/>
              <w:jc w:val="center"/>
              <w:rPr>
                <w:rFonts w:asciiTheme="majorEastAsia" w:hAnsiTheme="majorEastAsia" w:eastAsiaTheme="majorEastAsia" w:cstheme="majorEastAsia"/>
                <w:kern w:val="0"/>
                <w:szCs w:val="21"/>
              </w:rPr>
            </w:pPr>
            <w:bookmarkStart w:id="46" w:name="_Toc16930431"/>
            <w:bookmarkStart w:id="47" w:name="_Toc13210670"/>
            <w:bookmarkStart w:id="48" w:name="_Toc430530434"/>
            <w:bookmarkStart w:id="49" w:name="_Toc509218709"/>
            <w:bookmarkStart w:id="50" w:name="_Toc536628250"/>
            <w:r>
              <w:rPr>
                <w:rFonts w:hint="eastAsia" w:ascii="宋体" w:hAnsi="宋体"/>
                <w:kern w:val="0"/>
                <w:szCs w:val="21"/>
              </w:rPr>
              <w:t>重新比选</w:t>
            </w:r>
            <w:r>
              <w:rPr>
                <w:rFonts w:ascii="宋体" w:hAnsi="宋体"/>
                <w:kern w:val="0"/>
                <w:szCs w:val="21"/>
              </w:rPr>
              <w:t>和不再比选</w:t>
            </w:r>
            <w:bookmarkEnd w:id="46"/>
            <w:bookmarkEnd w:id="47"/>
            <w:bookmarkEnd w:id="48"/>
            <w:bookmarkEnd w:id="49"/>
            <w:bookmarkEnd w:id="50"/>
          </w:p>
        </w:tc>
        <w:tc>
          <w:tcPr>
            <w:tcW w:w="7215" w:type="dxa"/>
            <w:vAlign w:val="center"/>
          </w:tcPr>
          <w:p w14:paraId="5195B943">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出现以下情形本次比选失败：</w:t>
            </w:r>
          </w:p>
          <w:p w14:paraId="7C5B7530">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1.比选截止时间止，比选申请人少于3个的；</w:t>
            </w:r>
          </w:p>
          <w:p w14:paraId="0E162CDE">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2.经评审小组评审后否决所有比选申请的；</w:t>
            </w:r>
          </w:p>
          <w:p w14:paraId="37DFDBC1">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3.经评审后，因不符合资格审查要求导致合格的比选申请人不足三个的，评审小组应当否决全部比选申请；因不符合资格审查要求以外的其他原因导致合格的比选申请人不足三个的，评审小组可以否决全部比选申请，但是有效比选申请人的经济、技术等指标仍然具有市场竞争力，能够满足比选文件要求的，评审小组可以继续评审并确定成交候选人。</w:t>
            </w:r>
            <w:r>
              <w:rPr>
                <w:rFonts w:hint="eastAsia" w:ascii="宋体" w:hAnsi="宋体"/>
                <w:snapToGrid w:val="0"/>
                <w:kern w:val="0"/>
                <w:szCs w:val="21"/>
              </w:rPr>
              <w:t>无有效比选申请人的，可以不再进行比选</w:t>
            </w:r>
            <w:r>
              <w:rPr>
                <w:rFonts w:ascii="宋体" w:hAnsi="宋体"/>
                <w:snapToGrid w:val="0"/>
                <w:kern w:val="0"/>
                <w:szCs w:val="21"/>
              </w:rPr>
              <w:t>。</w:t>
            </w:r>
          </w:p>
        </w:tc>
      </w:tr>
      <w:tr w14:paraId="63C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614ECA3">
            <w:pPr>
              <w:snapToGrid w:val="0"/>
              <w:spacing w:line="400" w:lineRule="exact"/>
              <w:jc w:val="center"/>
              <w:rPr>
                <w:rFonts w:ascii="宋体" w:hAnsi="宋体"/>
                <w:kern w:val="0"/>
                <w:szCs w:val="21"/>
              </w:rPr>
            </w:pPr>
            <w:r>
              <w:rPr>
                <w:rFonts w:ascii="宋体" w:hAnsi="宋体"/>
                <w:kern w:val="0"/>
                <w:szCs w:val="21"/>
              </w:rPr>
              <w:t>10</w:t>
            </w:r>
          </w:p>
        </w:tc>
        <w:tc>
          <w:tcPr>
            <w:tcW w:w="8721" w:type="dxa"/>
            <w:gridSpan w:val="2"/>
            <w:vAlign w:val="center"/>
          </w:tcPr>
          <w:p w14:paraId="260BCF93">
            <w:pPr>
              <w:snapToGrid w:val="0"/>
              <w:spacing w:line="400" w:lineRule="exact"/>
              <w:ind w:firstLine="420" w:firstLineChars="200"/>
              <w:jc w:val="center"/>
              <w:rPr>
                <w:rFonts w:ascii="宋体" w:hAnsi="宋体"/>
                <w:kern w:val="0"/>
                <w:szCs w:val="21"/>
              </w:rPr>
            </w:pPr>
            <w:r>
              <w:rPr>
                <w:rFonts w:ascii="宋体" w:hAnsi="宋体"/>
                <w:kern w:val="0"/>
                <w:szCs w:val="21"/>
              </w:rPr>
              <w:t>需要补充的其他内容</w:t>
            </w:r>
          </w:p>
        </w:tc>
      </w:tr>
      <w:tr w14:paraId="394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5EFAAEC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10.1</w:t>
            </w:r>
          </w:p>
        </w:tc>
        <w:tc>
          <w:tcPr>
            <w:tcW w:w="1506" w:type="dxa"/>
            <w:vAlign w:val="center"/>
          </w:tcPr>
          <w:p w14:paraId="308BC880">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7215" w:type="dxa"/>
            <w:vAlign w:val="center"/>
          </w:tcPr>
          <w:p w14:paraId="51B294BF">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比选申请人</w:t>
            </w:r>
            <w:r>
              <w:rPr>
                <w:rFonts w:ascii="宋体" w:hAnsi="宋体"/>
                <w:kern w:val="0"/>
                <w:szCs w:val="21"/>
              </w:rPr>
              <w:t>或者其他利害关系人就本项目的</w:t>
            </w:r>
            <w:r>
              <w:rPr>
                <w:rFonts w:hint="eastAsia" w:ascii="宋体" w:hAnsi="宋体"/>
                <w:kern w:val="0"/>
                <w:szCs w:val="21"/>
              </w:rPr>
              <w:t>竞争性比选文件（含澄清修改）、开标情况、评审结果</w:t>
            </w:r>
            <w:r>
              <w:rPr>
                <w:rFonts w:ascii="宋体" w:hAnsi="宋体"/>
                <w:kern w:val="0"/>
                <w:szCs w:val="21"/>
              </w:rPr>
              <w:t>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rPr>
              <w:t>比选人</w:t>
            </w:r>
            <w:r>
              <w:rPr>
                <w:rFonts w:ascii="宋体" w:hAnsi="宋体"/>
                <w:kern w:val="0"/>
                <w:szCs w:val="21"/>
              </w:rPr>
              <w:t>提出异议；</w:t>
            </w:r>
            <w:r>
              <w:rPr>
                <w:rFonts w:hint="eastAsia" w:ascii="宋体" w:hAnsi="宋体"/>
                <w:kern w:val="0"/>
                <w:szCs w:val="21"/>
              </w:rPr>
              <w:t>比选人</w:t>
            </w:r>
            <w:r>
              <w:rPr>
                <w:rFonts w:ascii="宋体" w:hAnsi="宋体"/>
                <w:kern w:val="0"/>
                <w:szCs w:val="21"/>
              </w:rPr>
              <w:t>应当在规定时间内答复；对</w:t>
            </w:r>
            <w:r>
              <w:rPr>
                <w:rFonts w:hint="eastAsia" w:ascii="宋体" w:hAnsi="宋体"/>
                <w:kern w:val="0"/>
                <w:szCs w:val="21"/>
              </w:rPr>
              <w:t>比选人</w:t>
            </w:r>
            <w:r>
              <w:rPr>
                <w:rFonts w:ascii="宋体" w:hAnsi="宋体"/>
                <w:kern w:val="0"/>
                <w:szCs w:val="21"/>
              </w:rPr>
              <w:t>的答复不满意，可向行政监督部门投诉。</w:t>
            </w:r>
          </w:p>
          <w:p w14:paraId="124D7DB6">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3FA3ECBB">
            <w:pPr>
              <w:widowControl/>
              <w:spacing w:line="40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5659FF47">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1D7151D8">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1B00A49C">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2798C645">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3069490A">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BA41179">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参照</w:t>
            </w:r>
            <w:r>
              <w:rPr>
                <w:rFonts w:ascii="宋体" w:hAnsi="宋体"/>
                <w:kern w:val="0"/>
                <w:szCs w:val="21"/>
              </w:rPr>
              <w:t>《</w:t>
            </w:r>
            <w:r>
              <w:rPr>
                <w:rFonts w:hint="eastAsia" w:ascii="宋体" w:hAnsi="宋体"/>
                <w:kern w:val="0"/>
                <w:szCs w:val="21"/>
              </w:rPr>
              <w:t>中华人民共和国招标投标法</w:t>
            </w:r>
            <w:r>
              <w:rPr>
                <w:rFonts w:ascii="宋体" w:hAnsi="宋体"/>
                <w:kern w:val="0"/>
                <w:szCs w:val="21"/>
              </w:rPr>
              <w:t>》、《</w:t>
            </w:r>
            <w:r>
              <w:rPr>
                <w:rFonts w:hint="eastAsia" w:ascii="宋体" w:hAnsi="宋体"/>
                <w:kern w:val="0"/>
                <w:szCs w:val="21"/>
              </w:rPr>
              <w:t>中华人民共和国招标投标法</w:t>
            </w:r>
            <w:r>
              <w:rPr>
                <w:rFonts w:ascii="宋体" w:hAnsi="宋体"/>
                <w:kern w:val="0"/>
                <w:szCs w:val="21"/>
              </w:rPr>
              <w:t>实施条例》、《重庆市招标投标条例》、《工程建设项目招标投标活动投诉处理办法》（七部委令第11号（根据九部门2013年第23号令修正））、</w:t>
            </w:r>
            <w:r>
              <w:rPr>
                <w:rFonts w:hint="eastAsia" w:ascii="宋体" w:hAnsi="宋体" w:cs="宋体"/>
                <w:kern w:val="0"/>
                <w:szCs w:val="21"/>
              </w:rPr>
              <w:t>《关于印发&lt;重庆市招标投标活动投诉处理实施细则（修订）&gt;的通知》（渝公管发〔2021〕54号）</w:t>
            </w:r>
            <w:r>
              <w:rPr>
                <w:rFonts w:ascii="宋体" w:hAnsi="宋体"/>
                <w:kern w:val="0"/>
                <w:szCs w:val="21"/>
              </w:rPr>
              <w:t>等法律法规文件处理投诉。</w:t>
            </w:r>
          </w:p>
          <w:p w14:paraId="1479CED1">
            <w:pPr>
              <w:snapToGrid w:val="0"/>
              <w:spacing w:line="400" w:lineRule="exact"/>
              <w:ind w:firstLine="420" w:firstLineChars="200"/>
              <w:rPr>
                <w:rFonts w:ascii="宋体" w:hAnsi="宋体"/>
                <w:kern w:val="0"/>
                <w:szCs w:val="21"/>
              </w:rPr>
            </w:pPr>
            <w:r>
              <w:rPr>
                <w:rFonts w:hint="eastAsia" w:ascii="宋体" w:hAnsi="宋体"/>
                <w:kern w:val="0"/>
                <w:szCs w:val="21"/>
              </w:rPr>
              <w:t>3.参照《重庆市工程建设领域招标投标信用管理暂行办法》的规定，比选申请人捏造事实、伪造材料，或者以非法手段获取证明材料进行质疑或者投诉的，将被列入黑名单管理；</w:t>
            </w:r>
            <w:r>
              <w:rPr>
                <w:rFonts w:ascii="宋体" w:hAnsi="宋体"/>
                <w:kern w:val="0"/>
                <w:szCs w:val="21"/>
              </w:rPr>
              <w:t>给他人造成损失的，依法承担赔偿责任。</w:t>
            </w:r>
          </w:p>
          <w:p w14:paraId="596C28D1">
            <w:pPr>
              <w:snapToGrid w:val="0"/>
              <w:spacing w:line="400" w:lineRule="exact"/>
              <w:ind w:firstLine="420" w:firstLineChars="200"/>
              <w:rPr>
                <w:rFonts w:ascii="宋体" w:hAnsi="宋体"/>
                <w:kern w:val="0"/>
                <w:szCs w:val="21"/>
              </w:rPr>
            </w:pPr>
            <w:r>
              <w:rPr>
                <w:rFonts w:hint="eastAsia" w:ascii="宋体" w:hAnsi="宋体"/>
                <w:kern w:val="0"/>
                <w:szCs w:val="21"/>
              </w:rPr>
              <w:t>4.异议受理单位：重庆渝开发物业管理有限公司</w:t>
            </w:r>
          </w:p>
          <w:p w14:paraId="036544F7">
            <w:pPr>
              <w:snapToGrid w:val="0"/>
              <w:spacing w:line="400" w:lineRule="exact"/>
              <w:ind w:firstLine="420" w:firstLineChars="200"/>
              <w:rPr>
                <w:rFonts w:ascii="宋体" w:hAnsi="宋体"/>
                <w:kern w:val="0"/>
                <w:szCs w:val="21"/>
              </w:rPr>
            </w:pPr>
            <w:r>
              <w:rPr>
                <w:rFonts w:hint="eastAsia" w:ascii="宋体" w:hAnsi="宋体"/>
                <w:kern w:val="0"/>
                <w:szCs w:val="21"/>
              </w:rPr>
              <w:t>联系电话：023-67736694</w:t>
            </w:r>
          </w:p>
        </w:tc>
      </w:tr>
      <w:tr w14:paraId="7DD2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3BF8BF9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10.2</w:t>
            </w:r>
          </w:p>
        </w:tc>
        <w:tc>
          <w:tcPr>
            <w:tcW w:w="1506" w:type="dxa"/>
            <w:vAlign w:val="center"/>
          </w:tcPr>
          <w:p w14:paraId="2362D1DD">
            <w:pPr>
              <w:snapToGrid w:val="0"/>
              <w:spacing w:line="400" w:lineRule="exact"/>
              <w:jc w:val="center"/>
              <w:rPr>
                <w:rFonts w:ascii="宋体" w:hAnsi="宋体"/>
                <w:kern w:val="0"/>
                <w:szCs w:val="21"/>
              </w:rPr>
            </w:pPr>
            <w:r>
              <w:rPr>
                <w:rFonts w:hint="eastAsia" w:ascii="宋体" w:hAnsi="宋体"/>
                <w:kern w:val="0"/>
                <w:szCs w:val="21"/>
              </w:rPr>
              <w:t>比选代理服务费</w:t>
            </w:r>
          </w:p>
        </w:tc>
        <w:tc>
          <w:tcPr>
            <w:tcW w:w="7215" w:type="dxa"/>
            <w:vAlign w:val="center"/>
          </w:tcPr>
          <w:p w14:paraId="3173EAA3">
            <w:pPr>
              <w:wordWrap w:val="0"/>
              <w:spacing w:line="440" w:lineRule="exact"/>
              <w:ind w:firstLine="420" w:firstLineChars="200"/>
              <w:rPr>
                <w:rFonts w:ascii="宋体" w:hAnsi="宋体" w:cs="宋体"/>
                <w:szCs w:val="21"/>
                <w:u w:val="single"/>
              </w:rPr>
            </w:pPr>
            <w:r>
              <w:rPr>
                <w:rFonts w:hint="eastAsia" w:ascii="宋体" w:hAnsi="宋体" w:cs="宋体"/>
                <w:szCs w:val="21"/>
              </w:rPr>
              <w:t>比选代理服务费以中选金额为计费基数，类型为服务，按下表规定的计费方式以差额定率累进法计算</w:t>
            </w:r>
            <w:r>
              <w:rPr>
                <w:rFonts w:ascii="宋体" w:hAnsi="宋体" w:cs="宋体"/>
                <w:szCs w:val="21"/>
              </w:rPr>
              <w:t>后</w:t>
            </w:r>
            <w:r>
              <w:rPr>
                <w:rFonts w:ascii="宋体" w:hAnsi="宋体" w:cs="宋体"/>
                <w:szCs w:val="21"/>
                <w:u w:val="single"/>
              </w:rPr>
              <w:t>按</w:t>
            </w:r>
            <w:r>
              <w:rPr>
                <w:rFonts w:hint="eastAsia" w:ascii="宋体" w:hAnsi="宋体" w:cs="宋体"/>
                <w:szCs w:val="21"/>
                <w:u w:val="single"/>
              </w:rPr>
              <w:t>56%计取，其中单个服务类招标项目代理费计取超过3.2万元的按3.2万元包干计取，低于1.2万元的按1.2万元包干计取。</w:t>
            </w:r>
          </w:p>
          <w:tbl>
            <w:tblPr>
              <w:tblStyle w:val="50"/>
              <w:tblW w:w="6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532"/>
              <w:gridCol w:w="1559"/>
              <w:gridCol w:w="1364"/>
            </w:tblGrid>
            <w:tr w14:paraId="5D5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013" w:type="dxa"/>
                </w:tcPr>
                <w:p w14:paraId="5E65CF9D">
                  <w:pPr>
                    <w:spacing w:line="440" w:lineRule="exact"/>
                    <w:jc w:val="righ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21590</wp:posOffset>
                            </wp:positionV>
                            <wp:extent cx="1243965" cy="762635"/>
                            <wp:effectExtent l="2540" t="3810" r="10795" b="14605"/>
                            <wp:wrapNone/>
                            <wp:docPr id="3" name="直接连接符 3"/>
                            <wp:cNvGraphicFramePr/>
                            <a:graphic xmlns:a="http://schemas.openxmlformats.org/drawingml/2006/main">
                              <a:graphicData uri="http://schemas.microsoft.com/office/word/2010/wordprocessingShape">
                                <wps:wsp>
                                  <wps:cNvCnPr/>
                                  <wps:spPr>
                                    <a:xfrm>
                                      <a:off x="0" y="0"/>
                                      <a:ext cx="1243965" cy="762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1pt;margin-top:1.7pt;height:60.05pt;width:97.95pt;z-index:251665408;mso-width-relative:page;mso-height-relative:page;" filled="f" stroked="t" coordsize="21600,21600" o:gfxdata="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1jW1wAAAAgBAAAPAAAAAAAAAAEAIAAAACIAAABkcnMvZG93bnJldi54bWxQSwEC&#10;FAAUAAAACACHTuJAggNE0fUBAADrAwAADgAAAAAAAAABACAAAAAmAQAAZHJzL2Uyb0RvYy54bWxQ&#10;SwUGAAAAAAYABgBZAQAAjQUAAAAA&#10;">
                            <v:fill on="f" focussize="0,0"/>
                            <v:stroke color="#000000" joinstyle="round"/>
                            <v:imagedata o:title=""/>
                            <o:lock v:ext="edit" aspectratio="f"/>
                          </v:line>
                        </w:pict>
                      </mc:Fallback>
                    </mc:AlternateContent>
                  </w:r>
                  <w:r>
                    <w:rPr>
                      <w:rFonts w:hint="eastAsia" w:ascii="宋体" w:hAnsi="宋体" w:cs="宋体"/>
                      <w:sz w:val="18"/>
                      <w:szCs w:val="18"/>
                    </w:rPr>
                    <w:t>服务类型</w:t>
                  </w:r>
                </w:p>
                <w:p w14:paraId="63781F99">
                  <w:pPr>
                    <w:spacing w:line="440" w:lineRule="exact"/>
                    <w:jc w:val="right"/>
                    <w:rPr>
                      <w:rFonts w:ascii="宋体" w:hAnsi="宋体" w:cs="宋体"/>
                      <w:sz w:val="18"/>
                      <w:szCs w:val="18"/>
                    </w:rPr>
                  </w:pPr>
                  <w:r>
                    <w:rPr>
                      <w:rFonts w:hint="eastAsia" w:ascii="宋体" w:hAnsi="宋体" w:cs="宋体"/>
                      <w:sz w:val="18"/>
                      <w:szCs w:val="18"/>
                    </w:rPr>
                    <w:t>费率</w:t>
                  </w:r>
                </w:p>
                <w:p w14:paraId="6FFE2659">
                  <w:pPr>
                    <w:spacing w:line="440" w:lineRule="exact"/>
                    <w:jc w:val="left"/>
                    <w:rPr>
                      <w:rFonts w:ascii="宋体" w:hAnsi="宋体" w:cs="宋体"/>
                      <w:sz w:val="18"/>
                      <w:szCs w:val="18"/>
                    </w:rPr>
                  </w:pPr>
                  <w:r>
                    <w:rPr>
                      <w:rFonts w:hint="eastAsia" w:ascii="宋体" w:hAnsi="宋体" w:cs="宋体"/>
                      <w:sz w:val="18"/>
                      <w:szCs w:val="18"/>
                    </w:rPr>
                    <w:t>中选金额</w:t>
                  </w:r>
                </w:p>
                <w:p w14:paraId="63050FCB">
                  <w:pPr>
                    <w:spacing w:line="440" w:lineRule="exact"/>
                    <w:jc w:val="left"/>
                    <w:rPr>
                      <w:rFonts w:ascii="宋体" w:hAnsi="宋体" w:cs="宋体"/>
                      <w:szCs w:val="21"/>
                    </w:rPr>
                  </w:pPr>
                  <w:r>
                    <w:rPr>
                      <w:rFonts w:hint="eastAsia" w:ascii="宋体" w:hAnsi="宋体" w:cs="宋体"/>
                      <w:sz w:val="18"/>
                      <w:szCs w:val="18"/>
                    </w:rPr>
                    <w:t>（万元）</w:t>
                  </w:r>
                </w:p>
              </w:tc>
              <w:tc>
                <w:tcPr>
                  <w:tcW w:w="1532" w:type="dxa"/>
                  <w:vAlign w:val="center"/>
                </w:tcPr>
                <w:p w14:paraId="4CBF8D2A">
                  <w:pPr>
                    <w:spacing w:line="440" w:lineRule="exact"/>
                    <w:jc w:val="center"/>
                    <w:rPr>
                      <w:rFonts w:ascii="宋体" w:hAnsi="宋体" w:cs="宋体"/>
                      <w:szCs w:val="21"/>
                    </w:rPr>
                  </w:pPr>
                  <w:r>
                    <w:rPr>
                      <w:rFonts w:hint="eastAsia" w:ascii="宋体" w:hAnsi="宋体" w:cs="宋体"/>
                      <w:szCs w:val="21"/>
                    </w:rPr>
                    <w:t>货物招标</w:t>
                  </w:r>
                </w:p>
              </w:tc>
              <w:tc>
                <w:tcPr>
                  <w:tcW w:w="1559" w:type="dxa"/>
                  <w:vAlign w:val="center"/>
                </w:tcPr>
                <w:p w14:paraId="68664590">
                  <w:pPr>
                    <w:spacing w:line="440" w:lineRule="exact"/>
                    <w:jc w:val="center"/>
                    <w:rPr>
                      <w:rFonts w:ascii="宋体" w:hAnsi="宋体" w:cs="宋体"/>
                      <w:szCs w:val="21"/>
                    </w:rPr>
                  </w:pPr>
                  <w:r>
                    <w:rPr>
                      <w:rFonts w:hint="eastAsia" w:ascii="宋体" w:hAnsi="宋体" w:cs="宋体"/>
                      <w:szCs w:val="21"/>
                    </w:rPr>
                    <w:t>服务招标</w:t>
                  </w:r>
                </w:p>
              </w:tc>
              <w:tc>
                <w:tcPr>
                  <w:tcW w:w="1364" w:type="dxa"/>
                  <w:vAlign w:val="center"/>
                </w:tcPr>
                <w:p w14:paraId="70AFE002">
                  <w:pPr>
                    <w:spacing w:line="440" w:lineRule="exact"/>
                    <w:jc w:val="center"/>
                    <w:rPr>
                      <w:rFonts w:ascii="宋体" w:hAnsi="宋体" w:cs="宋体"/>
                      <w:szCs w:val="21"/>
                    </w:rPr>
                  </w:pPr>
                  <w:r>
                    <w:rPr>
                      <w:rFonts w:hint="eastAsia" w:ascii="宋体" w:hAnsi="宋体" w:cs="宋体"/>
                      <w:szCs w:val="21"/>
                    </w:rPr>
                    <w:t>工程招标</w:t>
                  </w:r>
                </w:p>
              </w:tc>
            </w:tr>
            <w:tr w14:paraId="2F2E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13" w:type="dxa"/>
                  <w:vAlign w:val="center"/>
                </w:tcPr>
                <w:p w14:paraId="72F957DD">
                  <w:pPr>
                    <w:spacing w:line="440" w:lineRule="exact"/>
                    <w:jc w:val="center"/>
                    <w:rPr>
                      <w:rFonts w:ascii="宋体" w:hAnsi="宋体" w:cs="宋体"/>
                      <w:szCs w:val="21"/>
                    </w:rPr>
                  </w:pPr>
                  <w:r>
                    <w:rPr>
                      <w:rFonts w:hint="eastAsia" w:ascii="宋体" w:hAnsi="宋体" w:cs="宋体"/>
                      <w:szCs w:val="21"/>
                    </w:rPr>
                    <w:t>100以下</w:t>
                  </w:r>
                </w:p>
              </w:tc>
              <w:tc>
                <w:tcPr>
                  <w:tcW w:w="1532" w:type="dxa"/>
                  <w:vAlign w:val="center"/>
                </w:tcPr>
                <w:p w14:paraId="2669E046">
                  <w:pPr>
                    <w:spacing w:line="440" w:lineRule="exact"/>
                    <w:jc w:val="center"/>
                    <w:rPr>
                      <w:rFonts w:ascii="宋体" w:hAnsi="宋体" w:cs="宋体"/>
                      <w:szCs w:val="21"/>
                    </w:rPr>
                  </w:pPr>
                  <w:r>
                    <w:rPr>
                      <w:rFonts w:hint="eastAsia" w:ascii="宋体" w:hAnsi="宋体" w:cs="宋体"/>
                      <w:szCs w:val="21"/>
                    </w:rPr>
                    <w:t>1.5%</w:t>
                  </w:r>
                </w:p>
              </w:tc>
              <w:tc>
                <w:tcPr>
                  <w:tcW w:w="1559" w:type="dxa"/>
                  <w:vAlign w:val="center"/>
                </w:tcPr>
                <w:p w14:paraId="20BCB38A">
                  <w:pPr>
                    <w:spacing w:line="440" w:lineRule="exact"/>
                    <w:jc w:val="center"/>
                    <w:rPr>
                      <w:rFonts w:ascii="宋体" w:hAnsi="宋体" w:cs="宋体"/>
                      <w:szCs w:val="21"/>
                    </w:rPr>
                  </w:pPr>
                  <w:r>
                    <w:rPr>
                      <w:rFonts w:hint="eastAsia" w:ascii="宋体" w:hAnsi="宋体" w:cs="宋体"/>
                      <w:szCs w:val="21"/>
                    </w:rPr>
                    <w:t>1.5%</w:t>
                  </w:r>
                </w:p>
              </w:tc>
              <w:tc>
                <w:tcPr>
                  <w:tcW w:w="1364" w:type="dxa"/>
                  <w:vAlign w:val="center"/>
                </w:tcPr>
                <w:p w14:paraId="308928A8">
                  <w:pPr>
                    <w:spacing w:line="440" w:lineRule="exact"/>
                    <w:jc w:val="center"/>
                    <w:rPr>
                      <w:rFonts w:ascii="宋体" w:hAnsi="宋体" w:cs="宋体"/>
                      <w:szCs w:val="21"/>
                    </w:rPr>
                  </w:pPr>
                  <w:r>
                    <w:rPr>
                      <w:rFonts w:hint="eastAsia" w:ascii="宋体" w:hAnsi="宋体" w:cs="宋体"/>
                      <w:szCs w:val="21"/>
                    </w:rPr>
                    <w:t>1.0%</w:t>
                  </w:r>
                </w:p>
              </w:tc>
            </w:tr>
            <w:tr w14:paraId="0FDD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3" w:type="dxa"/>
                  <w:vAlign w:val="center"/>
                </w:tcPr>
                <w:p w14:paraId="155F7E52">
                  <w:pPr>
                    <w:spacing w:line="440" w:lineRule="exact"/>
                    <w:jc w:val="center"/>
                    <w:rPr>
                      <w:rFonts w:ascii="宋体" w:hAnsi="宋体" w:cs="宋体"/>
                      <w:szCs w:val="21"/>
                    </w:rPr>
                  </w:pPr>
                  <w:r>
                    <w:rPr>
                      <w:rFonts w:hint="eastAsia" w:ascii="宋体" w:hAnsi="宋体" w:cs="宋体"/>
                      <w:szCs w:val="21"/>
                    </w:rPr>
                    <w:t>100-500</w:t>
                  </w:r>
                </w:p>
              </w:tc>
              <w:tc>
                <w:tcPr>
                  <w:tcW w:w="1532" w:type="dxa"/>
                  <w:vAlign w:val="center"/>
                </w:tcPr>
                <w:p w14:paraId="5F698C0D">
                  <w:pPr>
                    <w:spacing w:line="440" w:lineRule="exact"/>
                    <w:jc w:val="center"/>
                    <w:rPr>
                      <w:rFonts w:ascii="宋体" w:hAnsi="宋体" w:cs="宋体"/>
                      <w:szCs w:val="21"/>
                    </w:rPr>
                  </w:pPr>
                  <w:r>
                    <w:rPr>
                      <w:rFonts w:hint="eastAsia" w:ascii="宋体" w:hAnsi="宋体" w:cs="宋体"/>
                      <w:szCs w:val="21"/>
                    </w:rPr>
                    <w:t>1.1%</w:t>
                  </w:r>
                </w:p>
              </w:tc>
              <w:tc>
                <w:tcPr>
                  <w:tcW w:w="1559" w:type="dxa"/>
                  <w:vAlign w:val="center"/>
                </w:tcPr>
                <w:p w14:paraId="715B1CF9">
                  <w:pPr>
                    <w:spacing w:line="440" w:lineRule="exact"/>
                    <w:jc w:val="center"/>
                    <w:rPr>
                      <w:rFonts w:ascii="宋体" w:hAnsi="宋体" w:cs="宋体"/>
                      <w:szCs w:val="21"/>
                    </w:rPr>
                  </w:pPr>
                  <w:r>
                    <w:rPr>
                      <w:rFonts w:hint="eastAsia" w:ascii="宋体" w:hAnsi="宋体" w:cs="宋体"/>
                      <w:szCs w:val="21"/>
                    </w:rPr>
                    <w:t>0.8%</w:t>
                  </w:r>
                </w:p>
              </w:tc>
              <w:tc>
                <w:tcPr>
                  <w:tcW w:w="1364" w:type="dxa"/>
                  <w:vAlign w:val="center"/>
                </w:tcPr>
                <w:p w14:paraId="4FE4641D">
                  <w:pPr>
                    <w:spacing w:line="440" w:lineRule="exact"/>
                    <w:jc w:val="center"/>
                    <w:rPr>
                      <w:rFonts w:ascii="宋体" w:hAnsi="宋体" w:cs="宋体"/>
                      <w:szCs w:val="21"/>
                    </w:rPr>
                  </w:pPr>
                  <w:r>
                    <w:rPr>
                      <w:rFonts w:hint="eastAsia" w:ascii="宋体" w:hAnsi="宋体" w:cs="宋体"/>
                      <w:szCs w:val="21"/>
                    </w:rPr>
                    <w:t>0.7%</w:t>
                  </w:r>
                </w:p>
              </w:tc>
            </w:tr>
            <w:tr w14:paraId="45F1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3" w:type="dxa"/>
                  <w:vAlign w:val="center"/>
                </w:tcPr>
                <w:p w14:paraId="38AA6C8F">
                  <w:pPr>
                    <w:spacing w:line="440" w:lineRule="exact"/>
                    <w:jc w:val="center"/>
                    <w:rPr>
                      <w:rFonts w:ascii="宋体" w:hAnsi="宋体" w:cs="宋体"/>
                      <w:szCs w:val="21"/>
                    </w:rPr>
                  </w:pPr>
                  <w:r>
                    <w:rPr>
                      <w:rFonts w:ascii="宋体" w:hAnsi="宋体" w:cs="宋体"/>
                      <w:szCs w:val="21"/>
                    </w:rPr>
                    <w:t>500-1000</w:t>
                  </w:r>
                </w:p>
              </w:tc>
              <w:tc>
                <w:tcPr>
                  <w:tcW w:w="1532" w:type="dxa"/>
                  <w:vAlign w:val="center"/>
                </w:tcPr>
                <w:p w14:paraId="25C5FA18">
                  <w:pPr>
                    <w:spacing w:line="440" w:lineRule="exact"/>
                    <w:jc w:val="center"/>
                    <w:rPr>
                      <w:rFonts w:ascii="宋体" w:hAnsi="宋体" w:cs="宋体"/>
                      <w:szCs w:val="21"/>
                    </w:rPr>
                  </w:pPr>
                  <w:r>
                    <w:rPr>
                      <w:rFonts w:ascii="宋体" w:hAnsi="宋体" w:cs="宋体"/>
                      <w:szCs w:val="21"/>
                    </w:rPr>
                    <w:t>0.8%</w:t>
                  </w:r>
                </w:p>
              </w:tc>
              <w:tc>
                <w:tcPr>
                  <w:tcW w:w="1559" w:type="dxa"/>
                  <w:vAlign w:val="center"/>
                </w:tcPr>
                <w:p w14:paraId="50BD5F82">
                  <w:pPr>
                    <w:spacing w:line="440" w:lineRule="exact"/>
                    <w:jc w:val="center"/>
                    <w:rPr>
                      <w:szCs w:val="21"/>
                    </w:rPr>
                  </w:pPr>
                  <w:r>
                    <w:rPr>
                      <w:rFonts w:ascii="宋体" w:hAnsi="宋体" w:cs="宋体"/>
                      <w:szCs w:val="21"/>
                    </w:rPr>
                    <w:t>0.45%</w:t>
                  </w:r>
                </w:p>
              </w:tc>
              <w:tc>
                <w:tcPr>
                  <w:tcW w:w="1364" w:type="dxa"/>
                  <w:vAlign w:val="center"/>
                </w:tcPr>
                <w:p w14:paraId="66D833D8">
                  <w:pPr>
                    <w:spacing w:line="440" w:lineRule="exact"/>
                    <w:jc w:val="center"/>
                    <w:rPr>
                      <w:rFonts w:ascii="宋体" w:hAnsi="宋体" w:cs="宋体"/>
                      <w:szCs w:val="21"/>
                    </w:rPr>
                  </w:pPr>
                  <w:r>
                    <w:rPr>
                      <w:rFonts w:ascii="宋体" w:hAnsi="宋体" w:cs="宋体"/>
                      <w:szCs w:val="21"/>
                    </w:rPr>
                    <w:t>0.55%</w:t>
                  </w:r>
                </w:p>
              </w:tc>
            </w:tr>
          </w:tbl>
          <w:p w14:paraId="62582A69">
            <w:pPr>
              <w:wordWrap w:val="0"/>
              <w:spacing w:line="440" w:lineRule="exact"/>
              <w:ind w:firstLine="420" w:firstLineChars="200"/>
              <w:rPr>
                <w:rFonts w:ascii="宋体" w:hAnsi="宋体"/>
                <w:kern w:val="0"/>
                <w:szCs w:val="21"/>
              </w:rPr>
            </w:pPr>
            <w:r>
              <w:rPr>
                <w:rFonts w:hint="eastAsia" w:ascii="宋体" w:hAnsi="宋体" w:cs="宋体"/>
                <w:bCs/>
                <w:szCs w:val="21"/>
              </w:rPr>
              <w:t>本项目比选代理服务费由中选人支付</w:t>
            </w:r>
            <w:r>
              <w:rPr>
                <w:rFonts w:hint="eastAsia" w:ascii="宋体" w:hAnsi="宋体" w:cs="宋体"/>
                <w:szCs w:val="21"/>
              </w:rPr>
              <w:t>，比选申请人在比选申请报价时应考虑此因素，但不得单独报价。中选人在领取中选通知书时一次性向比选代理机构缴清比选代理服务费。</w:t>
            </w:r>
          </w:p>
        </w:tc>
      </w:tr>
      <w:tr w14:paraId="14CE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40AF1168">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10.3</w:t>
            </w:r>
          </w:p>
        </w:tc>
        <w:tc>
          <w:tcPr>
            <w:tcW w:w="1506" w:type="dxa"/>
            <w:vAlign w:val="center"/>
          </w:tcPr>
          <w:p w14:paraId="15B34F42">
            <w:pPr>
              <w:snapToGrid w:val="0"/>
              <w:spacing w:line="400" w:lineRule="exact"/>
              <w:jc w:val="center"/>
              <w:rPr>
                <w:rFonts w:ascii="宋体" w:hAnsi="宋体"/>
                <w:b/>
                <w:kern w:val="0"/>
                <w:szCs w:val="21"/>
              </w:rPr>
            </w:pPr>
            <w:r>
              <w:rPr>
                <w:rFonts w:hint="eastAsia" w:ascii="宋体" w:hAnsi="宋体"/>
                <w:b/>
                <w:kern w:val="0"/>
                <w:szCs w:val="21"/>
              </w:rPr>
              <w:t>短期服务人员</w:t>
            </w:r>
          </w:p>
        </w:tc>
        <w:tc>
          <w:tcPr>
            <w:tcW w:w="7215" w:type="dxa"/>
            <w:vAlign w:val="center"/>
          </w:tcPr>
          <w:p w14:paraId="7DA9F757">
            <w:pPr>
              <w:tabs>
                <w:tab w:val="left" w:pos="3045"/>
                <w:tab w:val="left" w:pos="8310"/>
              </w:tabs>
              <w:autoSpaceDE w:val="0"/>
              <w:autoSpaceDN w:val="0"/>
              <w:adjustRightInd w:val="0"/>
              <w:snapToGrid w:val="0"/>
              <w:spacing w:line="400" w:lineRule="exact"/>
              <w:ind w:firstLine="422" w:firstLineChars="200"/>
              <w:jc w:val="left"/>
              <w:rPr>
                <w:rFonts w:ascii="宋体" w:hAnsi="宋体" w:cs="宋体"/>
                <w:szCs w:val="21"/>
              </w:rPr>
            </w:pPr>
            <w:r>
              <w:rPr>
                <w:rFonts w:hint="eastAsia" w:asciiTheme="majorEastAsia" w:hAnsiTheme="majorEastAsia" w:eastAsiaTheme="majorEastAsia" w:cstheme="majorEastAsia"/>
                <w:b/>
                <w:bCs/>
                <w:szCs w:val="21"/>
              </w:rPr>
              <w:t>比选人（或其上级管理单位）若增加或减少日常保养与维修的电梯数量，则相关日常保养与维修费用将根据中选人中选单价与实际发生的时间（若实际日常保养与维修不足一个月，月数按实际日常保养与维修的天数</w:t>
            </w:r>
            <w:r>
              <w:rPr>
                <w:rFonts w:asciiTheme="majorEastAsia" w:hAnsiTheme="majorEastAsia" w:eastAsiaTheme="majorEastAsia" w:cstheme="majorEastAsia"/>
                <w:b/>
                <w:bCs/>
                <w:szCs w:val="21"/>
              </w:rPr>
              <w:t>/30天计算）据实结算，</w:t>
            </w:r>
            <w:r>
              <w:rPr>
                <w:rFonts w:hint="eastAsia" w:asciiTheme="majorEastAsia" w:hAnsiTheme="majorEastAsia" w:eastAsiaTheme="majorEastAsia" w:cstheme="majorEastAsia"/>
                <w:b/>
                <w:bCs/>
                <w:snapToGrid w:val="0"/>
                <w:kern w:val="0"/>
                <w:szCs w:val="21"/>
              </w:rPr>
              <w:t>且中选人应短期委派相关人员以保障</w:t>
            </w:r>
            <w:r>
              <w:rPr>
                <w:rFonts w:hint="eastAsia" w:asciiTheme="majorEastAsia" w:hAnsiTheme="majorEastAsia" w:eastAsiaTheme="majorEastAsia" w:cstheme="majorEastAsia"/>
                <w:b/>
                <w:snapToGrid w:val="0"/>
                <w:kern w:val="0"/>
                <w:szCs w:val="21"/>
              </w:rPr>
              <w:t>小区电梯正常运营，</w:t>
            </w:r>
            <w:r>
              <w:rPr>
                <w:rFonts w:hint="eastAsia" w:asciiTheme="majorEastAsia" w:hAnsiTheme="majorEastAsia" w:eastAsiaTheme="majorEastAsia" w:cstheme="majorEastAsia"/>
                <w:b/>
                <w:bCs/>
                <w:szCs w:val="21"/>
              </w:rPr>
              <w:t>中选人应无条件接受。</w:t>
            </w:r>
          </w:p>
        </w:tc>
      </w:tr>
    </w:tbl>
    <w:p w14:paraId="4D1860D4">
      <w:pPr>
        <w:ind w:firstLine="422" w:firstLineChars="200"/>
        <w:rPr>
          <w:rFonts w:asciiTheme="majorEastAsia" w:hAnsiTheme="majorEastAsia" w:eastAsiaTheme="majorEastAsia" w:cstheme="majorEastAsia"/>
          <w:b/>
          <w:kern w:val="0"/>
          <w:szCs w:val="21"/>
        </w:rPr>
      </w:pPr>
    </w:p>
    <w:p w14:paraId="1094551D">
      <w:pPr>
        <w:pStyle w:val="3"/>
        <w:rPr>
          <w:rFonts w:asciiTheme="majorEastAsia" w:hAnsiTheme="majorEastAsia" w:eastAsiaTheme="majorEastAsia" w:cstheme="majorEastAsia"/>
          <w:bCs/>
          <w:spacing w:val="0"/>
          <w:w w:val="100"/>
          <w:kern w:val="0"/>
          <w:sz w:val="21"/>
          <w:szCs w:val="21"/>
        </w:rPr>
      </w:pPr>
      <w:bookmarkStart w:id="51" w:name="_Toc444155913"/>
      <w:bookmarkStart w:id="52" w:name="_Toc29165"/>
      <w:bookmarkStart w:id="53" w:name="_Toc17305"/>
      <w:bookmarkStart w:id="54" w:name="_Toc26851"/>
      <w:bookmarkStart w:id="55" w:name="_Toc200513126"/>
      <w:r>
        <w:rPr>
          <w:rFonts w:hint="eastAsia" w:asciiTheme="majorEastAsia" w:hAnsiTheme="majorEastAsia" w:eastAsiaTheme="majorEastAsia" w:cstheme="majorEastAsia"/>
          <w:snapToGrid w:val="0"/>
          <w:szCs w:val="22"/>
        </w:rPr>
        <w:br w:type="page"/>
      </w:r>
      <w:bookmarkStart w:id="56" w:name="_Toc11726"/>
      <w:bookmarkStart w:id="57" w:name="_Toc21570"/>
      <w:r>
        <w:rPr>
          <w:rFonts w:hint="eastAsia" w:asciiTheme="majorEastAsia" w:hAnsiTheme="majorEastAsia" w:eastAsiaTheme="majorEastAsia" w:cstheme="majorEastAsia"/>
          <w:bCs/>
          <w:spacing w:val="0"/>
          <w:w w:val="100"/>
          <w:kern w:val="0"/>
          <w:sz w:val="21"/>
          <w:szCs w:val="21"/>
        </w:rPr>
        <w:t>1. 总则</w:t>
      </w:r>
      <w:bookmarkEnd w:id="51"/>
      <w:bookmarkEnd w:id="52"/>
      <w:bookmarkEnd w:id="53"/>
      <w:bookmarkEnd w:id="54"/>
      <w:bookmarkEnd w:id="55"/>
      <w:bookmarkEnd w:id="56"/>
      <w:bookmarkEnd w:id="57"/>
    </w:p>
    <w:p w14:paraId="24430EBF">
      <w:pPr>
        <w:pStyle w:val="4"/>
        <w:snapToGrid w:val="0"/>
        <w:spacing w:before="0" w:line="360" w:lineRule="auto"/>
        <w:rPr>
          <w:rFonts w:asciiTheme="majorEastAsia" w:hAnsiTheme="majorEastAsia" w:eastAsiaTheme="majorEastAsia" w:cstheme="majorEastAsia"/>
          <w:snapToGrid w:val="0"/>
          <w:sz w:val="21"/>
          <w:szCs w:val="21"/>
        </w:rPr>
      </w:pPr>
      <w:bookmarkStart w:id="58" w:name="_Toc28398"/>
      <w:bookmarkStart w:id="59" w:name="_Toc19723"/>
      <w:bookmarkStart w:id="60" w:name="_Toc25687"/>
      <w:bookmarkStart w:id="61" w:name="_Toc11776"/>
      <w:bookmarkStart w:id="62" w:name="_Toc200513127"/>
      <w:bookmarkStart w:id="63" w:name="_Toc444155914"/>
      <w:r>
        <w:rPr>
          <w:rFonts w:hint="eastAsia" w:asciiTheme="majorEastAsia" w:hAnsiTheme="majorEastAsia" w:eastAsiaTheme="majorEastAsia" w:cstheme="majorEastAsia"/>
          <w:snapToGrid w:val="0"/>
          <w:sz w:val="21"/>
          <w:szCs w:val="21"/>
        </w:rPr>
        <w:t>1.1 项目概况</w:t>
      </w:r>
      <w:bookmarkEnd w:id="58"/>
      <w:bookmarkEnd w:id="59"/>
      <w:bookmarkEnd w:id="60"/>
      <w:bookmarkEnd w:id="61"/>
      <w:bookmarkEnd w:id="62"/>
      <w:bookmarkEnd w:id="63"/>
    </w:p>
    <w:p w14:paraId="046EFC2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1.1.1</w:t>
      </w:r>
      <w:r>
        <w:rPr>
          <w:rFonts w:hint="eastAsia" w:ascii="宋体" w:hAnsi="宋体"/>
          <w:snapToGrid w:val="0"/>
          <w:kern w:val="0"/>
          <w:szCs w:val="21"/>
        </w:rPr>
        <w:t>参照</w:t>
      </w:r>
      <w:r>
        <w:rPr>
          <w:rFonts w:ascii="宋体" w:hAnsi="宋体"/>
          <w:snapToGrid w:val="0"/>
          <w:kern w:val="0"/>
          <w:szCs w:val="21"/>
        </w:rPr>
        <w:t>《中华人民共和国招标投标法》等有关法律、法规和规章的规定，本</w:t>
      </w:r>
      <w:r>
        <w:rPr>
          <w:rFonts w:hint="eastAsia" w:ascii="宋体" w:hAnsi="宋体"/>
          <w:snapToGrid w:val="0"/>
          <w:kern w:val="0"/>
          <w:szCs w:val="21"/>
        </w:rPr>
        <w:t>比选项目</w:t>
      </w:r>
      <w:r>
        <w:rPr>
          <w:rFonts w:ascii="宋体" w:hAnsi="宋体"/>
          <w:snapToGrid w:val="0"/>
          <w:kern w:val="0"/>
          <w:szCs w:val="21"/>
        </w:rPr>
        <w:t>已具备</w:t>
      </w:r>
      <w:r>
        <w:rPr>
          <w:rFonts w:hint="eastAsia" w:ascii="宋体" w:hAnsi="宋体"/>
          <w:snapToGrid w:val="0"/>
          <w:kern w:val="0"/>
          <w:szCs w:val="21"/>
        </w:rPr>
        <w:t>比选</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进行</w:t>
      </w:r>
      <w:r>
        <w:rPr>
          <w:rFonts w:hint="eastAsia" w:ascii="宋体" w:hAnsi="宋体"/>
          <w:snapToGrid w:val="0"/>
          <w:kern w:val="0"/>
          <w:szCs w:val="21"/>
        </w:rPr>
        <w:t>比选</w:t>
      </w:r>
      <w:r>
        <w:rPr>
          <w:rFonts w:ascii="宋体" w:hAnsi="宋体"/>
          <w:snapToGrid w:val="0"/>
          <w:kern w:val="0"/>
          <w:szCs w:val="21"/>
        </w:rPr>
        <w:t>。</w:t>
      </w:r>
    </w:p>
    <w:p w14:paraId="3CA6F277">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1.1.2 本项目比选人：见比选申请人须知前附表。</w:t>
      </w:r>
    </w:p>
    <w:p w14:paraId="321473F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1.1.3 本项目</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代理机构：见比选申请人须知前附表。</w:t>
      </w:r>
    </w:p>
    <w:p w14:paraId="548FD4F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1.1.4 本项目名称：见比选申请人须知前附表。</w:t>
      </w:r>
    </w:p>
    <w:p w14:paraId="13E794A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64" w:name="_Toc31711"/>
      <w:bookmarkStart w:id="65" w:name="_Toc22935"/>
      <w:bookmarkStart w:id="66" w:name="_Toc18578"/>
      <w:r>
        <w:rPr>
          <w:rFonts w:hint="eastAsia" w:asciiTheme="majorEastAsia" w:hAnsiTheme="majorEastAsia" w:eastAsiaTheme="majorEastAsia" w:cstheme="majorEastAsia"/>
          <w:snapToGrid w:val="0"/>
          <w:kern w:val="0"/>
          <w:szCs w:val="21"/>
        </w:rPr>
        <w:t>1.1.5 本项目服务地点：见比选申请人须知前附表。</w:t>
      </w:r>
      <w:bookmarkEnd w:id="64"/>
      <w:bookmarkEnd w:id="65"/>
      <w:bookmarkEnd w:id="66"/>
    </w:p>
    <w:p w14:paraId="05434BEB">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1.1.6 本</w:t>
      </w: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概况</w:t>
      </w:r>
      <w:r>
        <w:rPr>
          <w:rFonts w:hint="eastAsia" w:asciiTheme="majorEastAsia" w:hAnsiTheme="majorEastAsia" w:eastAsiaTheme="majorEastAsia" w:cstheme="majorEastAsia"/>
          <w:snapToGrid w:val="0"/>
          <w:kern w:val="0"/>
          <w:szCs w:val="21"/>
        </w:rPr>
        <w:t>：见比选申请人须知前附表。</w:t>
      </w:r>
    </w:p>
    <w:p w14:paraId="0B9C1DA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1.1.7 本</w:t>
      </w: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合同估</w:t>
      </w:r>
      <w:r>
        <w:rPr>
          <w:rFonts w:hint="eastAsia" w:asciiTheme="majorEastAsia" w:hAnsiTheme="majorEastAsia" w:eastAsiaTheme="majorEastAsia" w:cstheme="majorEastAsia"/>
          <w:kern w:val="0"/>
          <w:szCs w:val="21"/>
        </w:rPr>
        <w:t>算金额</w:t>
      </w:r>
      <w:r>
        <w:rPr>
          <w:rFonts w:hint="eastAsia" w:asciiTheme="majorEastAsia" w:hAnsiTheme="majorEastAsia" w:eastAsiaTheme="majorEastAsia" w:cstheme="majorEastAsia"/>
          <w:snapToGrid w:val="0"/>
          <w:kern w:val="0"/>
          <w:szCs w:val="21"/>
        </w:rPr>
        <w:t>：见比选申请人须知前附表。</w:t>
      </w:r>
    </w:p>
    <w:p w14:paraId="32D0F6D1">
      <w:pPr>
        <w:pStyle w:val="4"/>
        <w:snapToGrid w:val="0"/>
        <w:spacing w:before="0" w:line="360" w:lineRule="auto"/>
        <w:rPr>
          <w:rFonts w:asciiTheme="majorEastAsia" w:hAnsiTheme="majorEastAsia" w:eastAsiaTheme="majorEastAsia" w:cstheme="majorEastAsia"/>
          <w:snapToGrid w:val="0"/>
          <w:sz w:val="21"/>
          <w:szCs w:val="21"/>
        </w:rPr>
      </w:pPr>
      <w:bookmarkStart w:id="67" w:name="_Toc21808"/>
      <w:bookmarkStart w:id="68" w:name="_Toc200513128"/>
      <w:bookmarkStart w:id="69" w:name="_Toc31982"/>
      <w:bookmarkStart w:id="70" w:name="_Toc444155915"/>
      <w:bookmarkStart w:id="71" w:name="_Toc31530"/>
      <w:bookmarkStart w:id="72" w:name="_Toc6411"/>
      <w:r>
        <w:rPr>
          <w:rFonts w:hint="eastAsia" w:asciiTheme="majorEastAsia" w:hAnsiTheme="majorEastAsia" w:eastAsiaTheme="majorEastAsia" w:cstheme="majorEastAsia"/>
          <w:snapToGrid w:val="0"/>
          <w:sz w:val="21"/>
          <w:szCs w:val="21"/>
        </w:rPr>
        <w:t>1.2 资金来源和落实情况</w:t>
      </w:r>
      <w:bookmarkEnd w:id="67"/>
      <w:bookmarkEnd w:id="68"/>
      <w:bookmarkEnd w:id="69"/>
      <w:bookmarkEnd w:id="70"/>
      <w:bookmarkEnd w:id="71"/>
      <w:bookmarkEnd w:id="72"/>
    </w:p>
    <w:p w14:paraId="6DA73F7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1.2.1 本项目的资金来源：见比选申请人须知前附表。</w:t>
      </w:r>
    </w:p>
    <w:p w14:paraId="25F9922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1.2.2 本项目的出资比例：见比选申请人须知前附表。</w:t>
      </w:r>
    </w:p>
    <w:p w14:paraId="2F3472E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1.2.3 本项目的资金落实情况：见比选申请人须知前附表。</w:t>
      </w:r>
    </w:p>
    <w:p w14:paraId="5C3EDDC7">
      <w:pPr>
        <w:pStyle w:val="4"/>
        <w:snapToGrid w:val="0"/>
        <w:spacing w:before="0" w:line="360" w:lineRule="auto"/>
        <w:rPr>
          <w:rFonts w:asciiTheme="majorEastAsia" w:hAnsiTheme="majorEastAsia" w:eastAsiaTheme="majorEastAsia" w:cstheme="majorEastAsia"/>
          <w:snapToGrid w:val="0"/>
          <w:sz w:val="21"/>
          <w:szCs w:val="21"/>
        </w:rPr>
      </w:pPr>
      <w:bookmarkStart w:id="73" w:name="_Toc444155916"/>
      <w:bookmarkStart w:id="74" w:name="_Toc4115"/>
      <w:bookmarkStart w:id="75" w:name="_Toc492"/>
      <w:bookmarkStart w:id="76" w:name="_Toc200513129"/>
      <w:bookmarkStart w:id="77" w:name="_Toc7144"/>
      <w:bookmarkStart w:id="78" w:name="_Toc20588"/>
      <w:r>
        <w:rPr>
          <w:rFonts w:hint="eastAsia" w:asciiTheme="majorEastAsia" w:hAnsiTheme="majorEastAsia" w:eastAsiaTheme="majorEastAsia" w:cstheme="majorEastAsia"/>
          <w:snapToGrid w:val="0"/>
          <w:sz w:val="21"/>
          <w:szCs w:val="21"/>
        </w:rPr>
        <w:t>1.3 比选范围、服务期限和质量要求</w:t>
      </w:r>
      <w:bookmarkEnd w:id="73"/>
      <w:bookmarkEnd w:id="74"/>
      <w:bookmarkEnd w:id="75"/>
      <w:bookmarkEnd w:id="76"/>
      <w:bookmarkEnd w:id="77"/>
      <w:bookmarkEnd w:id="78"/>
    </w:p>
    <w:p w14:paraId="7971A8F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1.3.1 本次</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范围：见比选申请人须知前附表。</w:t>
      </w:r>
    </w:p>
    <w:p w14:paraId="3AA3A5A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1.3.2 本项目的服务期限：见比选申请人须知前附表。</w:t>
      </w:r>
    </w:p>
    <w:p w14:paraId="1486737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1.3.3 本项目的质量要求：见比选申请人须知前附表。</w:t>
      </w:r>
    </w:p>
    <w:p w14:paraId="4422E41D">
      <w:pPr>
        <w:pStyle w:val="4"/>
        <w:snapToGrid w:val="0"/>
        <w:spacing w:before="0" w:line="360" w:lineRule="auto"/>
        <w:rPr>
          <w:rFonts w:asciiTheme="majorEastAsia" w:hAnsiTheme="majorEastAsia" w:eastAsiaTheme="majorEastAsia" w:cstheme="majorEastAsia"/>
          <w:snapToGrid w:val="0"/>
          <w:sz w:val="21"/>
          <w:szCs w:val="21"/>
        </w:rPr>
      </w:pPr>
      <w:bookmarkStart w:id="79" w:name="_Toc28083"/>
      <w:bookmarkStart w:id="80" w:name="_Toc18526"/>
      <w:bookmarkStart w:id="81" w:name="_Toc20820"/>
      <w:bookmarkStart w:id="82" w:name="_Toc200513131"/>
      <w:bookmarkStart w:id="83" w:name="_Toc444155917"/>
      <w:bookmarkStart w:id="84" w:name="_Toc19241"/>
      <w:r>
        <w:rPr>
          <w:rFonts w:hint="eastAsia" w:asciiTheme="majorEastAsia" w:hAnsiTheme="majorEastAsia" w:eastAsiaTheme="majorEastAsia" w:cstheme="majorEastAsia"/>
          <w:snapToGrid w:val="0"/>
          <w:sz w:val="21"/>
          <w:szCs w:val="21"/>
        </w:rPr>
        <w:t>1.4 比选申请人资格要求</w:t>
      </w:r>
      <w:bookmarkEnd w:id="79"/>
      <w:bookmarkEnd w:id="80"/>
      <w:bookmarkEnd w:id="81"/>
      <w:bookmarkEnd w:id="82"/>
      <w:bookmarkEnd w:id="83"/>
      <w:bookmarkEnd w:id="84"/>
    </w:p>
    <w:p w14:paraId="4A6A8CD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1.4.1 比选申请人应具的资质条件、能力和信誉。</w:t>
      </w:r>
    </w:p>
    <w:p w14:paraId="1CE7243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见比选申请人须知前附表</w:t>
      </w:r>
      <w:r>
        <w:rPr>
          <w:rFonts w:hint="eastAsia" w:asciiTheme="majorEastAsia" w:hAnsiTheme="majorEastAsia" w:eastAsiaTheme="majorEastAsia" w:cstheme="majorEastAsia"/>
          <w:snapToGrid w:val="0"/>
          <w:kern w:val="0"/>
          <w:szCs w:val="21"/>
        </w:rPr>
        <w:t>。</w:t>
      </w:r>
    </w:p>
    <w:p w14:paraId="6B95583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1.4.2 本项目不接受联合体参加比选申请活动。</w:t>
      </w:r>
    </w:p>
    <w:p w14:paraId="1C2A348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1.4.3 比选申请人不得存在下列情形之一：</w:t>
      </w:r>
    </w:p>
    <w:p w14:paraId="05459B7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（1）与比选人存在利害关系可能影响</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公正性的法人、其他组织或者个人；</w:t>
      </w:r>
    </w:p>
    <w:p w14:paraId="345FEED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（2）为本标段前期准备提供设计或咨询服务的，但设计施工总承包的除外；</w:t>
      </w:r>
    </w:p>
    <w:p w14:paraId="5C4D99B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（3）为本标段提供</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代理服务的；</w:t>
      </w:r>
    </w:p>
    <w:p w14:paraId="6AF5140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代理机构同为一个法定代表人的；</w:t>
      </w:r>
    </w:p>
    <w:p w14:paraId="570CE1E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代理机构相互控股或参股的；</w:t>
      </w:r>
    </w:p>
    <w:p w14:paraId="4E4B1FF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代理机构相互任职或工作的；</w:t>
      </w:r>
    </w:p>
    <w:p w14:paraId="422B294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（7）被责令停产停业、暂扣或者吊销许可证、暂扣或者吊销执照；</w:t>
      </w:r>
    </w:p>
    <w:p w14:paraId="5B360FA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（8）被暂停或取消比选申请（比选申请）资格的；</w:t>
      </w:r>
    </w:p>
    <w:p w14:paraId="301C815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（9）进入清算程序，或被宣告破产，或其他丧失履约能力的情形；</w:t>
      </w:r>
    </w:p>
    <w:p w14:paraId="2DEDBE4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（10）单位负责人为同一人或者存在控股、管理关系的不同单位，不得在同一标段中</w:t>
      </w:r>
      <w:bookmarkStart w:id="85" w:name="OLE_LINK119"/>
      <w:bookmarkStart w:id="86" w:name="OLE_LINK118"/>
      <w:bookmarkStart w:id="87" w:name="OLE_LINK120"/>
      <w:r>
        <w:rPr>
          <w:rFonts w:hint="eastAsia" w:asciiTheme="majorEastAsia" w:hAnsiTheme="majorEastAsia" w:eastAsiaTheme="majorEastAsia" w:cstheme="majorEastAsia"/>
          <w:szCs w:val="21"/>
        </w:rPr>
        <w:t>同时参加比选活动</w:t>
      </w:r>
      <w:bookmarkEnd w:id="85"/>
      <w:bookmarkEnd w:id="86"/>
      <w:bookmarkEnd w:id="87"/>
      <w:r>
        <w:rPr>
          <w:rFonts w:hint="eastAsia" w:asciiTheme="majorEastAsia" w:hAnsiTheme="majorEastAsia" w:eastAsiaTheme="majorEastAsia" w:cstheme="majorEastAsia"/>
          <w:szCs w:val="21"/>
        </w:rPr>
        <w:t>；</w:t>
      </w:r>
    </w:p>
    <w:p w14:paraId="397CC2C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（11）两个以上比选申请人的法定代表人为同一人，母公司、全资子公司及其控股公司，不得在同一标段中同时参加比选活动。</w:t>
      </w:r>
    </w:p>
    <w:p w14:paraId="3B4707D0">
      <w:pPr>
        <w:pStyle w:val="4"/>
        <w:snapToGrid w:val="0"/>
        <w:spacing w:before="0" w:line="360" w:lineRule="auto"/>
        <w:rPr>
          <w:rFonts w:asciiTheme="majorEastAsia" w:hAnsiTheme="majorEastAsia" w:eastAsiaTheme="majorEastAsia" w:cstheme="majorEastAsia"/>
          <w:snapToGrid w:val="0"/>
          <w:sz w:val="21"/>
          <w:szCs w:val="21"/>
        </w:rPr>
      </w:pPr>
      <w:bookmarkStart w:id="88" w:name="_Toc444155918"/>
      <w:bookmarkStart w:id="89" w:name="_Toc27398"/>
      <w:bookmarkStart w:id="90" w:name="_Toc25414"/>
      <w:bookmarkStart w:id="91" w:name="_Toc21028"/>
      <w:bookmarkStart w:id="92" w:name="_Toc13362"/>
      <w:bookmarkStart w:id="93" w:name="_Toc200513132"/>
      <w:r>
        <w:rPr>
          <w:rFonts w:hint="eastAsia" w:asciiTheme="majorEastAsia" w:hAnsiTheme="majorEastAsia" w:eastAsiaTheme="majorEastAsia" w:cstheme="majorEastAsia"/>
          <w:snapToGrid w:val="0"/>
          <w:sz w:val="21"/>
          <w:szCs w:val="21"/>
        </w:rPr>
        <w:t>1.5 费用承担</w:t>
      </w:r>
      <w:bookmarkEnd w:id="88"/>
      <w:bookmarkEnd w:id="89"/>
      <w:bookmarkEnd w:id="90"/>
      <w:bookmarkEnd w:id="91"/>
      <w:bookmarkEnd w:id="92"/>
      <w:bookmarkEnd w:id="93"/>
    </w:p>
    <w:p w14:paraId="2E1866E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比选申请人准备和参加比选活动发生的费用自理。</w:t>
      </w:r>
    </w:p>
    <w:p w14:paraId="3D33C162">
      <w:pPr>
        <w:pStyle w:val="4"/>
        <w:snapToGrid w:val="0"/>
        <w:spacing w:before="0" w:line="360" w:lineRule="auto"/>
        <w:rPr>
          <w:rFonts w:asciiTheme="majorEastAsia" w:hAnsiTheme="majorEastAsia" w:eastAsiaTheme="majorEastAsia" w:cstheme="majorEastAsia"/>
          <w:snapToGrid w:val="0"/>
          <w:sz w:val="21"/>
          <w:szCs w:val="21"/>
        </w:rPr>
      </w:pPr>
      <w:bookmarkStart w:id="94" w:name="_Toc444155919"/>
      <w:bookmarkStart w:id="95" w:name="_Toc2559"/>
      <w:bookmarkStart w:id="96" w:name="_Toc200513133"/>
      <w:bookmarkStart w:id="97" w:name="_Toc19783"/>
      <w:bookmarkStart w:id="98" w:name="_Toc30130"/>
      <w:bookmarkStart w:id="99" w:name="_Toc2729"/>
      <w:r>
        <w:rPr>
          <w:rFonts w:hint="eastAsia" w:asciiTheme="majorEastAsia" w:hAnsiTheme="majorEastAsia" w:eastAsiaTheme="majorEastAsia" w:cstheme="majorEastAsia"/>
          <w:snapToGrid w:val="0"/>
          <w:sz w:val="21"/>
          <w:szCs w:val="21"/>
        </w:rPr>
        <w:t>1.6 保密</w:t>
      </w:r>
      <w:bookmarkEnd w:id="94"/>
      <w:bookmarkEnd w:id="95"/>
      <w:bookmarkEnd w:id="96"/>
      <w:bookmarkEnd w:id="97"/>
      <w:bookmarkEnd w:id="98"/>
      <w:bookmarkEnd w:id="99"/>
    </w:p>
    <w:p w14:paraId="7CF9E7E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参与比选活动的各方应对竞争性比选文件和比选申请文件中的商业和技术等秘密保密，违者应对由此造成的后果承担法律责任。</w:t>
      </w:r>
    </w:p>
    <w:p w14:paraId="20F2641C">
      <w:pPr>
        <w:pStyle w:val="4"/>
        <w:snapToGrid w:val="0"/>
        <w:spacing w:before="0" w:line="360" w:lineRule="auto"/>
        <w:rPr>
          <w:rFonts w:asciiTheme="majorEastAsia" w:hAnsiTheme="majorEastAsia" w:eastAsiaTheme="majorEastAsia" w:cstheme="majorEastAsia"/>
          <w:snapToGrid w:val="0"/>
          <w:sz w:val="21"/>
          <w:szCs w:val="21"/>
        </w:rPr>
      </w:pPr>
      <w:bookmarkStart w:id="100" w:name="_Toc18267"/>
      <w:bookmarkStart w:id="101" w:name="_Toc843"/>
      <w:bookmarkStart w:id="102" w:name="_Toc200513134"/>
      <w:bookmarkStart w:id="103" w:name="_Toc28995"/>
      <w:bookmarkStart w:id="104" w:name="_Toc444155920"/>
      <w:bookmarkStart w:id="105" w:name="_Toc26264"/>
      <w:r>
        <w:rPr>
          <w:rFonts w:hint="eastAsia" w:asciiTheme="majorEastAsia" w:hAnsiTheme="majorEastAsia" w:eastAsiaTheme="majorEastAsia" w:cstheme="majorEastAsia"/>
          <w:snapToGrid w:val="0"/>
          <w:sz w:val="21"/>
          <w:szCs w:val="21"/>
        </w:rPr>
        <w:t>1.7 语言文字</w:t>
      </w:r>
      <w:bookmarkEnd w:id="100"/>
      <w:bookmarkEnd w:id="101"/>
      <w:bookmarkEnd w:id="102"/>
      <w:bookmarkEnd w:id="103"/>
      <w:bookmarkEnd w:id="104"/>
      <w:bookmarkEnd w:id="105"/>
    </w:p>
    <w:p w14:paraId="79A5169B">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除专用术语外，与</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比选申请有关的语言均使用中文。必要时专用术语应附有中文注释。</w:t>
      </w:r>
    </w:p>
    <w:p w14:paraId="501B95EB">
      <w:pPr>
        <w:pStyle w:val="4"/>
        <w:snapToGrid w:val="0"/>
        <w:spacing w:before="0" w:line="360" w:lineRule="auto"/>
        <w:rPr>
          <w:rFonts w:asciiTheme="majorEastAsia" w:hAnsiTheme="majorEastAsia" w:eastAsiaTheme="majorEastAsia" w:cstheme="majorEastAsia"/>
          <w:snapToGrid w:val="0"/>
          <w:sz w:val="21"/>
          <w:szCs w:val="21"/>
        </w:rPr>
      </w:pPr>
      <w:bookmarkStart w:id="106" w:name="_Toc200513135"/>
      <w:bookmarkStart w:id="107" w:name="_Toc17585"/>
      <w:bookmarkStart w:id="108" w:name="_Toc2534"/>
      <w:bookmarkStart w:id="109" w:name="_Toc22681"/>
      <w:bookmarkStart w:id="110" w:name="_Toc444155921"/>
      <w:bookmarkStart w:id="111" w:name="_Toc20631"/>
      <w:r>
        <w:rPr>
          <w:rFonts w:hint="eastAsia" w:asciiTheme="majorEastAsia" w:hAnsiTheme="majorEastAsia" w:eastAsiaTheme="majorEastAsia" w:cstheme="majorEastAsia"/>
          <w:snapToGrid w:val="0"/>
          <w:sz w:val="21"/>
          <w:szCs w:val="21"/>
        </w:rPr>
        <w:t>1.8 计量单位</w:t>
      </w:r>
      <w:bookmarkEnd w:id="106"/>
      <w:r>
        <w:rPr>
          <w:rFonts w:hint="eastAsia" w:asciiTheme="majorEastAsia" w:hAnsiTheme="majorEastAsia" w:eastAsiaTheme="majorEastAsia" w:cstheme="majorEastAsia"/>
          <w:snapToGrid w:val="0"/>
          <w:sz w:val="21"/>
          <w:szCs w:val="21"/>
        </w:rPr>
        <w:t>及比选币种</w:t>
      </w:r>
      <w:bookmarkEnd w:id="107"/>
      <w:bookmarkEnd w:id="108"/>
      <w:bookmarkEnd w:id="109"/>
      <w:bookmarkEnd w:id="110"/>
      <w:bookmarkEnd w:id="111"/>
    </w:p>
    <w:p w14:paraId="06BF1CB5">
      <w:pPr>
        <w:autoSpaceDE w:val="0"/>
        <w:autoSpaceDN w:val="0"/>
        <w:adjustRightInd w:val="0"/>
        <w:snapToGrid w:val="0"/>
        <w:spacing w:line="360" w:lineRule="auto"/>
        <w:ind w:firstLine="424" w:firstLineChars="202"/>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1.8.1 所有计量均采用中华人民共和国法定计量单位。</w:t>
      </w:r>
    </w:p>
    <w:p w14:paraId="333F030C">
      <w:pPr>
        <w:autoSpaceDE w:val="0"/>
        <w:autoSpaceDN w:val="0"/>
        <w:adjustRightInd w:val="0"/>
        <w:snapToGrid w:val="0"/>
        <w:spacing w:line="360" w:lineRule="auto"/>
        <w:ind w:firstLine="424" w:firstLineChars="202"/>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1.8.2 本项目一律采用人民币进行报价。</w:t>
      </w:r>
    </w:p>
    <w:p w14:paraId="42544FFF">
      <w:pPr>
        <w:pStyle w:val="4"/>
        <w:snapToGrid w:val="0"/>
        <w:spacing w:before="0" w:line="360" w:lineRule="auto"/>
        <w:rPr>
          <w:rFonts w:asciiTheme="majorEastAsia" w:hAnsiTheme="majorEastAsia" w:eastAsiaTheme="majorEastAsia" w:cstheme="majorEastAsia"/>
          <w:snapToGrid w:val="0"/>
          <w:sz w:val="21"/>
          <w:szCs w:val="21"/>
        </w:rPr>
      </w:pPr>
      <w:bookmarkStart w:id="112" w:name="_Toc444155922"/>
      <w:bookmarkStart w:id="113" w:name="_Toc23592"/>
      <w:bookmarkStart w:id="114" w:name="_Toc2452"/>
      <w:bookmarkStart w:id="115" w:name="_Toc200513136"/>
      <w:bookmarkStart w:id="116" w:name="_Toc24751"/>
      <w:bookmarkStart w:id="117" w:name="_Toc31579"/>
      <w:r>
        <w:rPr>
          <w:rFonts w:hint="eastAsia" w:asciiTheme="majorEastAsia" w:hAnsiTheme="majorEastAsia" w:eastAsiaTheme="majorEastAsia" w:cstheme="majorEastAsia"/>
          <w:snapToGrid w:val="0"/>
          <w:sz w:val="21"/>
          <w:szCs w:val="21"/>
        </w:rPr>
        <w:t>1.9 踏勘现场</w:t>
      </w:r>
      <w:bookmarkEnd w:id="112"/>
      <w:bookmarkEnd w:id="113"/>
      <w:bookmarkEnd w:id="114"/>
      <w:bookmarkEnd w:id="115"/>
      <w:bookmarkEnd w:id="116"/>
      <w:bookmarkEnd w:id="117"/>
    </w:p>
    <w:p w14:paraId="57EEEFE7">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1.9.1 是否组织现场踏勘：见比选申请人须知前附表。</w:t>
      </w:r>
    </w:p>
    <w:p w14:paraId="5E232B37">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1.9.2 比选申请人踏勘现场发生的费用自理。</w:t>
      </w:r>
    </w:p>
    <w:p w14:paraId="74141B78">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1.9.3 比选申请人自行负责在踏勘现场中所发生的人员伤亡和财产损失。</w:t>
      </w:r>
    </w:p>
    <w:p w14:paraId="627E66BF">
      <w:pPr>
        <w:autoSpaceDE w:val="0"/>
        <w:autoSpaceDN w:val="0"/>
        <w:adjustRightInd w:val="0"/>
        <w:snapToGrid w:val="0"/>
        <w:spacing w:line="360" w:lineRule="auto"/>
        <w:ind w:firstLine="420"/>
      </w:pPr>
      <w:r>
        <w:rPr>
          <w:rFonts w:ascii="宋体" w:hAnsi="宋体"/>
          <w:snapToGrid w:val="0"/>
          <w:kern w:val="0"/>
          <w:szCs w:val="21"/>
        </w:rPr>
        <w:t xml:space="preserve">1.9.4 </w:t>
      </w:r>
      <w:r>
        <w:rPr>
          <w:rFonts w:hint="eastAsia" w:ascii="宋体" w:hAnsi="宋体"/>
          <w:snapToGrid w:val="0"/>
          <w:kern w:val="0"/>
          <w:szCs w:val="21"/>
        </w:rPr>
        <w:t>比选人</w:t>
      </w:r>
      <w:r>
        <w:rPr>
          <w:rFonts w:ascii="宋体" w:hAnsi="宋体"/>
          <w:snapToGrid w:val="0"/>
          <w:kern w:val="0"/>
          <w:szCs w:val="21"/>
        </w:rPr>
        <w:t>在踏勘现场中介绍的工程场地和相关的周边环境情况，供</w:t>
      </w:r>
      <w:r>
        <w:rPr>
          <w:rFonts w:hint="eastAsia" w:ascii="宋体" w:hAnsi="宋体"/>
          <w:snapToGrid w:val="0"/>
          <w:kern w:val="0"/>
          <w:szCs w:val="21"/>
        </w:rPr>
        <w:t>比选申请人</w:t>
      </w:r>
      <w:r>
        <w:rPr>
          <w:rFonts w:ascii="宋体" w:hAnsi="宋体"/>
          <w:snapToGrid w:val="0"/>
          <w:kern w:val="0"/>
          <w:szCs w:val="21"/>
        </w:rPr>
        <w:t>在编制</w:t>
      </w:r>
      <w:r>
        <w:rPr>
          <w:rFonts w:hint="eastAsia" w:ascii="宋体" w:hAnsi="宋体"/>
          <w:snapToGrid w:val="0"/>
          <w:kern w:val="0"/>
          <w:szCs w:val="21"/>
        </w:rPr>
        <w:t>比选申请文件</w:t>
      </w:r>
      <w:r>
        <w:rPr>
          <w:rFonts w:ascii="宋体" w:hAnsi="宋体"/>
          <w:snapToGrid w:val="0"/>
          <w:kern w:val="0"/>
          <w:szCs w:val="21"/>
        </w:rPr>
        <w:t>时参考，</w:t>
      </w:r>
      <w:r>
        <w:rPr>
          <w:rFonts w:hint="eastAsia" w:ascii="宋体" w:hAnsi="宋体"/>
          <w:snapToGrid w:val="0"/>
          <w:kern w:val="0"/>
          <w:szCs w:val="21"/>
        </w:rPr>
        <w:t>比选人</w:t>
      </w:r>
      <w:r>
        <w:rPr>
          <w:rFonts w:ascii="宋体" w:hAnsi="宋体"/>
          <w:snapToGrid w:val="0"/>
          <w:kern w:val="0"/>
          <w:szCs w:val="21"/>
        </w:rPr>
        <w:t>不对</w:t>
      </w:r>
      <w:r>
        <w:rPr>
          <w:rFonts w:hint="eastAsia" w:ascii="宋体" w:hAnsi="宋体"/>
          <w:snapToGrid w:val="0"/>
          <w:kern w:val="0"/>
          <w:szCs w:val="21"/>
        </w:rPr>
        <w:t>比选申请人</w:t>
      </w:r>
      <w:r>
        <w:rPr>
          <w:rFonts w:ascii="宋体" w:hAnsi="宋体"/>
          <w:snapToGrid w:val="0"/>
          <w:kern w:val="0"/>
          <w:szCs w:val="21"/>
        </w:rPr>
        <w:t>据此做出的判断和决策负责。</w:t>
      </w:r>
    </w:p>
    <w:p w14:paraId="7BFEB9E6">
      <w:pPr>
        <w:pStyle w:val="4"/>
        <w:snapToGrid w:val="0"/>
        <w:spacing w:before="0" w:line="360" w:lineRule="auto"/>
        <w:rPr>
          <w:rFonts w:asciiTheme="majorEastAsia" w:hAnsiTheme="majorEastAsia" w:eastAsiaTheme="majorEastAsia" w:cstheme="majorEastAsia"/>
          <w:snapToGrid w:val="0"/>
          <w:sz w:val="21"/>
          <w:szCs w:val="21"/>
        </w:rPr>
      </w:pPr>
      <w:bookmarkStart w:id="118" w:name="_Toc444155923"/>
      <w:bookmarkStart w:id="119" w:name="_Toc21201"/>
      <w:bookmarkStart w:id="120" w:name="_Toc6190"/>
      <w:bookmarkStart w:id="121" w:name="_Toc200513137"/>
      <w:bookmarkStart w:id="122" w:name="_Toc31156"/>
      <w:bookmarkStart w:id="123" w:name="_Toc24355"/>
      <w:r>
        <w:rPr>
          <w:rFonts w:hint="eastAsia" w:asciiTheme="majorEastAsia" w:hAnsiTheme="majorEastAsia" w:eastAsiaTheme="majorEastAsia" w:cstheme="majorEastAsia"/>
          <w:snapToGrid w:val="0"/>
          <w:sz w:val="21"/>
          <w:szCs w:val="21"/>
        </w:rPr>
        <w:t>1.10 比选预备会</w:t>
      </w:r>
      <w:bookmarkEnd w:id="118"/>
      <w:bookmarkEnd w:id="119"/>
      <w:bookmarkEnd w:id="120"/>
      <w:bookmarkEnd w:id="121"/>
      <w:bookmarkEnd w:id="122"/>
      <w:bookmarkEnd w:id="123"/>
    </w:p>
    <w:p w14:paraId="7DE092DC">
      <w:pPr>
        <w:autoSpaceDE w:val="0"/>
        <w:autoSpaceDN w:val="0"/>
        <w:adjustRightInd w:val="0"/>
        <w:snapToGrid w:val="0"/>
        <w:spacing w:line="360" w:lineRule="auto"/>
        <w:ind w:firstLine="420"/>
        <w:rPr>
          <w:rFonts w:ascii="宋体" w:hAnsi="宋体"/>
          <w:snapToGrid w:val="0"/>
          <w:kern w:val="0"/>
          <w:szCs w:val="21"/>
        </w:rPr>
      </w:pPr>
      <w:bookmarkStart w:id="124" w:name="_Toc21965"/>
      <w:bookmarkStart w:id="125" w:name="_Toc29538"/>
      <w:bookmarkStart w:id="126" w:name="_Toc200513138"/>
      <w:bookmarkStart w:id="127" w:name="_Toc28450"/>
      <w:bookmarkStart w:id="128" w:name="_Toc444155924"/>
      <w:bookmarkStart w:id="129" w:name="_Toc11435"/>
      <w:r>
        <w:rPr>
          <w:rFonts w:ascii="宋体" w:hAnsi="宋体"/>
          <w:snapToGrid w:val="0"/>
          <w:kern w:val="0"/>
          <w:szCs w:val="21"/>
        </w:rPr>
        <w:t xml:space="preserve">1.10.1  </w:t>
      </w:r>
      <w:r>
        <w:rPr>
          <w:rFonts w:hint="eastAsia" w:ascii="宋体" w:hAnsi="宋体"/>
          <w:snapToGrid w:val="0"/>
          <w:kern w:val="0"/>
          <w:szCs w:val="21"/>
        </w:rPr>
        <w:t>比选申请人</w:t>
      </w:r>
      <w:r>
        <w:rPr>
          <w:rFonts w:ascii="宋体" w:hAnsi="宋体"/>
          <w:snapToGrid w:val="0"/>
          <w:kern w:val="0"/>
          <w:szCs w:val="21"/>
        </w:rPr>
        <w:t>须知前附表规定召开比选申请预备会的，</w:t>
      </w:r>
      <w:r>
        <w:rPr>
          <w:rFonts w:hint="eastAsia" w:ascii="宋体" w:hAnsi="宋体"/>
          <w:snapToGrid w:val="0"/>
          <w:kern w:val="0"/>
          <w:szCs w:val="21"/>
        </w:rPr>
        <w:t>比选人</w:t>
      </w:r>
      <w:r>
        <w:rPr>
          <w:rFonts w:ascii="宋体" w:hAnsi="宋体"/>
          <w:snapToGrid w:val="0"/>
          <w:kern w:val="0"/>
          <w:szCs w:val="21"/>
        </w:rPr>
        <w:t>按</w:t>
      </w:r>
      <w:r>
        <w:rPr>
          <w:rFonts w:hint="eastAsia" w:ascii="宋体" w:hAnsi="宋体"/>
          <w:snapToGrid w:val="0"/>
          <w:kern w:val="0"/>
          <w:szCs w:val="21"/>
        </w:rPr>
        <w:t>比选申请人</w:t>
      </w:r>
      <w:r>
        <w:rPr>
          <w:rFonts w:ascii="宋体" w:hAnsi="宋体"/>
          <w:snapToGrid w:val="0"/>
          <w:kern w:val="0"/>
          <w:szCs w:val="21"/>
        </w:rPr>
        <w:t>须知前附表规定的时间和地点召开比选申请预备会，澄清</w:t>
      </w:r>
      <w:r>
        <w:rPr>
          <w:rFonts w:hint="eastAsia" w:ascii="宋体" w:hAnsi="宋体"/>
          <w:snapToGrid w:val="0"/>
          <w:kern w:val="0"/>
          <w:szCs w:val="21"/>
        </w:rPr>
        <w:t>比选申请人</w:t>
      </w:r>
      <w:r>
        <w:rPr>
          <w:rFonts w:ascii="宋体" w:hAnsi="宋体"/>
          <w:snapToGrid w:val="0"/>
          <w:kern w:val="0"/>
          <w:szCs w:val="21"/>
        </w:rPr>
        <w:t>提出的问题。</w:t>
      </w:r>
    </w:p>
    <w:p w14:paraId="52E4FA6A">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hint="eastAsia" w:ascii="宋体" w:hAnsi="宋体"/>
          <w:snapToGrid w:val="0"/>
          <w:kern w:val="0"/>
          <w:szCs w:val="21"/>
        </w:rPr>
        <w:t>比选申请人</w:t>
      </w:r>
      <w:r>
        <w:rPr>
          <w:rFonts w:ascii="宋体" w:hAnsi="宋体"/>
          <w:snapToGrid w:val="0"/>
          <w:kern w:val="0"/>
          <w:szCs w:val="21"/>
        </w:rPr>
        <w:t>应在</w:t>
      </w:r>
      <w:r>
        <w:rPr>
          <w:rFonts w:hint="eastAsia" w:ascii="宋体" w:hAnsi="宋体"/>
          <w:snapToGrid w:val="0"/>
          <w:kern w:val="0"/>
          <w:szCs w:val="21"/>
        </w:rPr>
        <w:t>比选申请人</w:t>
      </w:r>
      <w:r>
        <w:rPr>
          <w:rFonts w:ascii="宋体" w:hAnsi="宋体"/>
          <w:snapToGrid w:val="0"/>
          <w:kern w:val="0"/>
          <w:szCs w:val="21"/>
        </w:rPr>
        <w:t>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w:t>
      </w:r>
      <w:r>
        <w:rPr>
          <w:rFonts w:hint="eastAsia" w:ascii="宋体" w:hAnsi="宋体"/>
          <w:snapToGrid w:val="0"/>
          <w:kern w:val="0"/>
          <w:szCs w:val="21"/>
        </w:rPr>
        <w:t>比选人</w:t>
      </w:r>
      <w:r>
        <w:rPr>
          <w:rFonts w:ascii="宋体" w:hAnsi="宋体"/>
          <w:snapToGrid w:val="0"/>
          <w:kern w:val="0"/>
          <w:szCs w:val="21"/>
        </w:rPr>
        <w:t>，以便</w:t>
      </w:r>
      <w:r>
        <w:rPr>
          <w:rFonts w:hint="eastAsia" w:ascii="宋体" w:hAnsi="宋体"/>
          <w:snapToGrid w:val="0"/>
          <w:kern w:val="0"/>
          <w:szCs w:val="21"/>
        </w:rPr>
        <w:t>比选人</w:t>
      </w:r>
      <w:r>
        <w:rPr>
          <w:rFonts w:ascii="宋体" w:hAnsi="宋体"/>
          <w:snapToGrid w:val="0"/>
          <w:kern w:val="0"/>
          <w:szCs w:val="21"/>
        </w:rPr>
        <w:t>澄清。</w:t>
      </w:r>
    </w:p>
    <w:p w14:paraId="215C6FE1">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比选人</w:t>
      </w:r>
      <w:r>
        <w:rPr>
          <w:rFonts w:ascii="宋体" w:hAnsi="宋体"/>
          <w:snapToGrid w:val="0"/>
          <w:kern w:val="0"/>
          <w:szCs w:val="21"/>
        </w:rPr>
        <w:t>在</w:t>
      </w:r>
      <w:r>
        <w:rPr>
          <w:rFonts w:hint="eastAsia" w:ascii="宋体" w:hAnsi="宋体"/>
          <w:snapToGrid w:val="0"/>
          <w:kern w:val="0"/>
          <w:szCs w:val="21"/>
        </w:rPr>
        <w:t>比选申请人</w:t>
      </w:r>
      <w:r>
        <w:rPr>
          <w:rFonts w:ascii="宋体" w:hAnsi="宋体"/>
          <w:snapToGrid w:val="0"/>
          <w:kern w:val="0"/>
          <w:szCs w:val="21"/>
        </w:rPr>
        <w:t>须知前附表规定的时间内，将对</w:t>
      </w:r>
      <w:r>
        <w:rPr>
          <w:rFonts w:hint="eastAsia" w:ascii="宋体" w:hAnsi="宋体"/>
          <w:snapToGrid w:val="0"/>
          <w:kern w:val="0"/>
          <w:szCs w:val="21"/>
        </w:rPr>
        <w:t>比选申请人</w:t>
      </w:r>
      <w:r>
        <w:rPr>
          <w:rFonts w:ascii="宋体" w:hAnsi="宋体"/>
          <w:snapToGrid w:val="0"/>
          <w:kern w:val="0"/>
          <w:szCs w:val="21"/>
        </w:rPr>
        <w:t>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竞争性比选文件</w:t>
      </w:r>
      <w:r>
        <w:rPr>
          <w:rFonts w:ascii="宋体" w:hAnsi="宋体"/>
          <w:snapToGrid w:val="0"/>
          <w:kern w:val="0"/>
          <w:position w:val="-2"/>
          <w:szCs w:val="21"/>
        </w:rPr>
        <w:t>的组成部分。</w:t>
      </w:r>
    </w:p>
    <w:p w14:paraId="141DFF9C">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1.11 分包</w:t>
      </w:r>
      <w:bookmarkEnd w:id="124"/>
      <w:bookmarkEnd w:id="125"/>
      <w:bookmarkEnd w:id="126"/>
      <w:bookmarkEnd w:id="127"/>
      <w:bookmarkEnd w:id="128"/>
      <w:bookmarkEnd w:id="129"/>
    </w:p>
    <w:p w14:paraId="3FEDDB57">
      <w:pPr>
        <w:autoSpaceDE w:val="0"/>
        <w:autoSpaceDN w:val="0"/>
        <w:adjustRightInd w:val="0"/>
        <w:snapToGrid w:val="0"/>
        <w:spacing w:line="360" w:lineRule="auto"/>
        <w:ind w:firstLine="426"/>
        <w:rPr>
          <w:rFonts w:ascii="宋体" w:hAnsi="宋体"/>
          <w:snapToGrid w:val="0"/>
          <w:kern w:val="0"/>
          <w:szCs w:val="21"/>
        </w:rPr>
      </w:pPr>
      <w:bookmarkStart w:id="130" w:name="_Toc19598"/>
      <w:bookmarkStart w:id="131" w:name="_Toc1932"/>
      <w:bookmarkStart w:id="132" w:name="_Toc32641"/>
      <w:bookmarkStart w:id="133" w:name="_Toc28505"/>
      <w:bookmarkStart w:id="134" w:name="_Toc444155926"/>
      <w:bookmarkStart w:id="135" w:name="_Toc200513139"/>
      <w:r>
        <w:rPr>
          <w:rFonts w:hint="eastAsia" w:ascii="宋体" w:hAnsi="宋体"/>
          <w:snapToGrid w:val="0"/>
          <w:kern w:val="0"/>
          <w:szCs w:val="21"/>
        </w:rPr>
        <w:t>不允许</w:t>
      </w:r>
      <w:r>
        <w:rPr>
          <w:rFonts w:ascii="宋体" w:hAnsi="宋体"/>
          <w:snapToGrid w:val="0"/>
          <w:kern w:val="0"/>
          <w:szCs w:val="21"/>
        </w:rPr>
        <w:t>。</w:t>
      </w:r>
    </w:p>
    <w:p w14:paraId="24CBA38D">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1.12 偏离</w:t>
      </w:r>
      <w:bookmarkEnd w:id="130"/>
      <w:bookmarkEnd w:id="131"/>
      <w:bookmarkEnd w:id="132"/>
      <w:bookmarkEnd w:id="133"/>
      <w:bookmarkEnd w:id="134"/>
      <w:bookmarkEnd w:id="135"/>
    </w:p>
    <w:p w14:paraId="10F2B749">
      <w:pPr>
        <w:autoSpaceDE w:val="0"/>
        <w:autoSpaceDN w:val="0"/>
        <w:adjustRightInd w:val="0"/>
        <w:snapToGrid w:val="0"/>
        <w:spacing w:line="360" w:lineRule="auto"/>
        <w:ind w:firstLine="426"/>
        <w:jc w:val="left"/>
        <w:rPr>
          <w:rFonts w:asciiTheme="majorEastAsia" w:hAnsiTheme="majorEastAsia" w:eastAsiaTheme="majorEastAsia" w:cstheme="majorEastAsia"/>
          <w:snapToGrid w:val="0"/>
          <w:kern w:val="0"/>
          <w:szCs w:val="21"/>
        </w:rPr>
      </w:pPr>
      <w:bookmarkStart w:id="136" w:name="_Toc200513140"/>
      <w:r>
        <w:rPr>
          <w:rFonts w:hint="eastAsia" w:asciiTheme="majorEastAsia" w:hAnsiTheme="majorEastAsia" w:eastAsiaTheme="majorEastAsia" w:cstheme="majorEastAsia"/>
          <w:snapToGrid w:val="0"/>
          <w:kern w:val="0"/>
          <w:szCs w:val="21"/>
        </w:rPr>
        <w:t>不允许负偏离。</w:t>
      </w:r>
    </w:p>
    <w:p w14:paraId="1A9DB8DD">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137" w:name="_Toc1562"/>
      <w:bookmarkStart w:id="138" w:name="_Toc16706"/>
      <w:bookmarkStart w:id="139" w:name="_Toc444155927"/>
      <w:bookmarkStart w:id="140" w:name="_Toc17741"/>
      <w:bookmarkStart w:id="141" w:name="_Toc22036"/>
      <w:bookmarkStart w:id="142" w:name="_Toc30237"/>
      <w:r>
        <w:rPr>
          <w:rFonts w:hint="eastAsia" w:asciiTheme="majorEastAsia" w:hAnsiTheme="majorEastAsia" w:eastAsiaTheme="majorEastAsia" w:cstheme="majorEastAsia"/>
          <w:bCs/>
          <w:spacing w:val="0"/>
          <w:w w:val="100"/>
          <w:kern w:val="0"/>
          <w:sz w:val="21"/>
          <w:szCs w:val="21"/>
        </w:rPr>
        <w:t xml:space="preserve">2. </w:t>
      </w:r>
      <w:bookmarkEnd w:id="136"/>
      <w:bookmarkEnd w:id="137"/>
      <w:bookmarkEnd w:id="138"/>
      <w:bookmarkEnd w:id="139"/>
      <w:bookmarkEnd w:id="140"/>
      <w:r>
        <w:rPr>
          <w:rFonts w:hint="eastAsia" w:asciiTheme="majorEastAsia" w:hAnsiTheme="majorEastAsia" w:eastAsiaTheme="majorEastAsia" w:cstheme="majorEastAsia"/>
          <w:bCs/>
          <w:spacing w:val="0"/>
          <w:w w:val="100"/>
          <w:kern w:val="0"/>
          <w:sz w:val="21"/>
          <w:szCs w:val="21"/>
        </w:rPr>
        <w:t>竞争性比选文件</w:t>
      </w:r>
      <w:bookmarkEnd w:id="141"/>
      <w:bookmarkEnd w:id="142"/>
    </w:p>
    <w:p w14:paraId="441F88B1">
      <w:pPr>
        <w:pStyle w:val="4"/>
        <w:snapToGrid w:val="0"/>
        <w:spacing w:before="0" w:line="360" w:lineRule="auto"/>
        <w:rPr>
          <w:rFonts w:asciiTheme="majorEastAsia" w:hAnsiTheme="majorEastAsia" w:eastAsiaTheme="majorEastAsia" w:cstheme="majorEastAsia"/>
          <w:snapToGrid w:val="0"/>
          <w:sz w:val="21"/>
          <w:szCs w:val="21"/>
        </w:rPr>
      </w:pPr>
      <w:bookmarkStart w:id="143" w:name="_Toc444155928"/>
      <w:bookmarkStart w:id="144" w:name="_Toc23724"/>
      <w:bookmarkStart w:id="145" w:name="_Toc5120"/>
      <w:bookmarkStart w:id="146" w:name="_Toc21518"/>
      <w:bookmarkStart w:id="147" w:name="_Toc30552"/>
      <w:bookmarkStart w:id="148" w:name="_Toc200513141"/>
      <w:r>
        <w:rPr>
          <w:rFonts w:hint="eastAsia" w:asciiTheme="majorEastAsia" w:hAnsiTheme="majorEastAsia" w:eastAsiaTheme="majorEastAsia" w:cstheme="majorEastAsia"/>
          <w:snapToGrid w:val="0"/>
          <w:sz w:val="21"/>
          <w:szCs w:val="21"/>
        </w:rPr>
        <w:t>2.1 竞争性比选文件的组成</w:t>
      </w:r>
      <w:bookmarkEnd w:id="143"/>
      <w:bookmarkEnd w:id="144"/>
      <w:bookmarkEnd w:id="145"/>
      <w:bookmarkEnd w:id="146"/>
      <w:bookmarkEnd w:id="147"/>
      <w:bookmarkEnd w:id="148"/>
    </w:p>
    <w:p w14:paraId="4B1A1FB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49" w:name="OLE_LINK159"/>
      <w:bookmarkStart w:id="150" w:name="OLE_LINK131"/>
      <w:bookmarkStart w:id="151" w:name="OLE_LINK132"/>
      <w:bookmarkStart w:id="152" w:name="OLE_LINK130"/>
      <w:r>
        <w:rPr>
          <w:rFonts w:hint="eastAsia" w:asciiTheme="majorEastAsia" w:hAnsiTheme="majorEastAsia" w:eastAsiaTheme="majorEastAsia" w:cstheme="majorEastAsia"/>
          <w:snapToGrid w:val="0"/>
          <w:kern w:val="0"/>
          <w:szCs w:val="21"/>
        </w:rPr>
        <w:t>本竞争性比选文件包括：</w:t>
      </w:r>
    </w:p>
    <w:p w14:paraId="2EB6FB5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53" w:name="OLE_LINK127"/>
      <w:bookmarkStart w:id="154" w:name="OLE_LINK129"/>
      <w:bookmarkStart w:id="155" w:name="OLE_LINK122"/>
      <w:bookmarkStart w:id="156" w:name="OLE_LINK125"/>
      <w:bookmarkStart w:id="157" w:name="OLE_LINK126"/>
      <w:bookmarkStart w:id="158" w:name="OLE_LINK128"/>
      <w:bookmarkStart w:id="159" w:name="OLE_LINK121"/>
      <w:bookmarkStart w:id="160" w:name="OLE_LINK124"/>
      <w:bookmarkStart w:id="161" w:name="OLE_LINK123"/>
      <w:r>
        <w:rPr>
          <w:rFonts w:hint="eastAsia" w:asciiTheme="majorEastAsia" w:hAnsiTheme="majorEastAsia" w:eastAsiaTheme="majorEastAsia" w:cstheme="majorEastAsia"/>
          <w:snapToGrid w:val="0"/>
          <w:kern w:val="0"/>
          <w:szCs w:val="21"/>
        </w:rPr>
        <w:t>（1）</w:t>
      </w:r>
      <w:r>
        <w:rPr>
          <w:rFonts w:hint="eastAsia" w:asciiTheme="majorEastAsia" w:hAnsiTheme="majorEastAsia" w:eastAsiaTheme="majorEastAsia" w:cstheme="majorEastAsia"/>
          <w:kern w:val="0"/>
          <w:szCs w:val="21"/>
        </w:rPr>
        <w:t>比选公告</w:t>
      </w:r>
      <w:r>
        <w:rPr>
          <w:rFonts w:hint="eastAsia" w:asciiTheme="majorEastAsia" w:hAnsiTheme="majorEastAsia" w:eastAsiaTheme="majorEastAsia" w:cstheme="majorEastAsia"/>
          <w:snapToGrid w:val="0"/>
          <w:kern w:val="0"/>
          <w:szCs w:val="21"/>
        </w:rPr>
        <w:t>；</w:t>
      </w:r>
    </w:p>
    <w:p w14:paraId="14FDB6C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（2）比选申请人须知；</w:t>
      </w:r>
    </w:p>
    <w:p w14:paraId="1348624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（3）评审办法；</w:t>
      </w:r>
    </w:p>
    <w:p w14:paraId="6217BC4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w:t>
      </w:r>
      <w:r>
        <w:rPr>
          <w:rFonts w:ascii="宋体" w:hAnsi="宋体"/>
          <w:snapToGrid w:val="0"/>
          <w:kern w:val="0"/>
          <w:szCs w:val="21"/>
        </w:rPr>
        <w:t>合同条款及格式</w:t>
      </w:r>
      <w:r>
        <w:rPr>
          <w:rFonts w:hint="eastAsia" w:asciiTheme="majorEastAsia" w:hAnsiTheme="majorEastAsia" w:eastAsiaTheme="majorEastAsia" w:cstheme="majorEastAsia"/>
          <w:snapToGrid w:val="0"/>
          <w:kern w:val="0"/>
          <w:szCs w:val="21"/>
        </w:rPr>
        <w:t>；</w:t>
      </w:r>
    </w:p>
    <w:p w14:paraId="14FD7C4F">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（5）技术标准和要求；</w:t>
      </w:r>
    </w:p>
    <w:p w14:paraId="6E99DDC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62" w:name="OLE_LINK133"/>
      <w:bookmarkStart w:id="163" w:name="OLE_LINK134"/>
      <w:r>
        <w:rPr>
          <w:rFonts w:hint="eastAsia" w:asciiTheme="majorEastAsia" w:hAnsiTheme="majorEastAsia" w:eastAsiaTheme="majorEastAsia" w:cstheme="majorEastAsia"/>
          <w:snapToGrid w:val="0"/>
          <w:kern w:val="0"/>
          <w:szCs w:val="21"/>
        </w:rPr>
        <w:t>（6）比选申请文件格式；</w:t>
      </w:r>
    </w:p>
    <w:bookmarkEnd w:id="162"/>
    <w:bookmarkEnd w:id="163"/>
    <w:p w14:paraId="16B71E5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（7）其他材料。</w:t>
      </w:r>
    </w:p>
    <w:bookmarkEnd w:id="153"/>
    <w:bookmarkEnd w:id="154"/>
    <w:bookmarkEnd w:id="155"/>
    <w:bookmarkEnd w:id="156"/>
    <w:bookmarkEnd w:id="157"/>
    <w:bookmarkEnd w:id="158"/>
    <w:bookmarkEnd w:id="159"/>
    <w:bookmarkEnd w:id="160"/>
    <w:bookmarkEnd w:id="161"/>
    <w:p w14:paraId="0ADEA23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根据本章第2.2款对竞争性比选文件所作的澄清、修改，构成竞争性比选文件的组成部</w:t>
      </w:r>
      <w:bookmarkEnd w:id="149"/>
      <w:r>
        <w:rPr>
          <w:rFonts w:hint="eastAsia" w:asciiTheme="majorEastAsia" w:hAnsiTheme="majorEastAsia" w:eastAsiaTheme="majorEastAsia" w:cstheme="majorEastAsia"/>
          <w:snapToGrid w:val="0"/>
          <w:kern w:val="0"/>
          <w:szCs w:val="21"/>
        </w:rPr>
        <w:t>分。</w:t>
      </w:r>
    </w:p>
    <w:bookmarkEnd w:id="150"/>
    <w:bookmarkEnd w:id="151"/>
    <w:bookmarkEnd w:id="152"/>
    <w:p w14:paraId="4E99A2E8">
      <w:pPr>
        <w:pStyle w:val="4"/>
        <w:snapToGrid w:val="0"/>
        <w:spacing w:before="0" w:line="360" w:lineRule="auto"/>
        <w:rPr>
          <w:rFonts w:asciiTheme="majorEastAsia" w:hAnsiTheme="majorEastAsia" w:eastAsiaTheme="majorEastAsia" w:cstheme="majorEastAsia"/>
          <w:snapToGrid w:val="0"/>
          <w:sz w:val="21"/>
          <w:szCs w:val="21"/>
        </w:rPr>
      </w:pPr>
      <w:bookmarkStart w:id="164" w:name="_Toc444155929"/>
      <w:bookmarkStart w:id="165" w:name="_Toc9907"/>
      <w:bookmarkStart w:id="166" w:name="_Toc2593"/>
      <w:bookmarkStart w:id="167" w:name="_Toc16847"/>
      <w:bookmarkStart w:id="168" w:name="_Toc200513142"/>
      <w:bookmarkStart w:id="169" w:name="_Toc28494"/>
      <w:bookmarkStart w:id="170" w:name="OLE_LINK89"/>
      <w:r>
        <w:rPr>
          <w:rFonts w:hint="eastAsia" w:asciiTheme="majorEastAsia" w:hAnsiTheme="majorEastAsia" w:eastAsiaTheme="majorEastAsia" w:cstheme="majorEastAsia"/>
          <w:snapToGrid w:val="0"/>
          <w:sz w:val="21"/>
          <w:szCs w:val="21"/>
        </w:rPr>
        <w:t>2.2 竞争性比选文件的澄清</w:t>
      </w:r>
      <w:bookmarkEnd w:id="164"/>
      <w:bookmarkEnd w:id="165"/>
      <w:bookmarkEnd w:id="166"/>
      <w:bookmarkEnd w:id="167"/>
      <w:bookmarkEnd w:id="168"/>
      <w:bookmarkEnd w:id="169"/>
    </w:p>
    <w:bookmarkEnd w:id="170"/>
    <w:p w14:paraId="168A8916">
      <w:pPr>
        <w:autoSpaceDE w:val="0"/>
        <w:autoSpaceDN w:val="0"/>
        <w:adjustRightInd w:val="0"/>
        <w:snapToGrid w:val="0"/>
        <w:spacing w:line="360" w:lineRule="auto"/>
        <w:ind w:firstLine="420"/>
        <w:rPr>
          <w:rFonts w:ascii="宋体" w:hAnsi="宋体"/>
          <w:snapToGrid w:val="0"/>
          <w:kern w:val="0"/>
          <w:szCs w:val="21"/>
        </w:rPr>
      </w:pPr>
      <w:bookmarkStart w:id="171" w:name="_Toc200513144"/>
      <w:bookmarkStart w:id="172" w:name="_Toc12703"/>
      <w:bookmarkStart w:id="173" w:name="_Toc6600"/>
      <w:bookmarkStart w:id="174" w:name="_Toc10931"/>
      <w:bookmarkStart w:id="175" w:name="_Toc444155931"/>
      <w:bookmarkStart w:id="176" w:name="_Toc30887"/>
      <w:r>
        <w:rPr>
          <w:rFonts w:ascii="宋体" w:hAnsi="宋体"/>
          <w:snapToGrid w:val="0"/>
          <w:kern w:val="0"/>
          <w:szCs w:val="21"/>
        </w:rPr>
        <w:t xml:space="preserve">2.2.1  </w:t>
      </w:r>
      <w:r>
        <w:rPr>
          <w:rFonts w:hint="eastAsia" w:ascii="宋体" w:hAnsi="宋体"/>
          <w:snapToGrid w:val="0"/>
          <w:kern w:val="0"/>
          <w:szCs w:val="21"/>
        </w:rPr>
        <w:t>比选申请人</w:t>
      </w:r>
      <w:r>
        <w:rPr>
          <w:rFonts w:ascii="宋体" w:hAnsi="宋体"/>
          <w:snapToGrid w:val="0"/>
          <w:kern w:val="0"/>
          <w:szCs w:val="21"/>
        </w:rPr>
        <w:t>应仔细阅读和检查</w:t>
      </w:r>
      <w:r>
        <w:rPr>
          <w:rFonts w:hint="eastAsia" w:ascii="宋体" w:hAnsi="宋体"/>
          <w:snapToGrid w:val="0"/>
          <w:kern w:val="0"/>
          <w:szCs w:val="21"/>
        </w:rPr>
        <w:t>竞争性比选文件</w:t>
      </w:r>
      <w:r>
        <w:rPr>
          <w:rFonts w:ascii="宋体" w:hAnsi="宋体"/>
          <w:snapToGrid w:val="0"/>
          <w:kern w:val="0"/>
          <w:szCs w:val="21"/>
        </w:rPr>
        <w:t>的全部内容。如发现缺页或附件不全，应及时向</w:t>
      </w:r>
      <w:r>
        <w:rPr>
          <w:rFonts w:hint="eastAsia" w:ascii="宋体" w:hAnsi="宋体"/>
          <w:snapToGrid w:val="0"/>
          <w:kern w:val="0"/>
          <w:szCs w:val="21"/>
        </w:rPr>
        <w:t>比选人</w:t>
      </w:r>
      <w:r>
        <w:rPr>
          <w:rFonts w:ascii="宋体" w:hAnsi="宋体"/>
          <w:snapToGrid w:val="0"/>
          <w:kern w:val="0"/>
          <w:szCs w:val="21"/>
        </w:rPr>
        <w:t>提出，以便补齐。如有疑问，应在</w:t>
      </w:r>
      <w:r>
        <w:rPr>
          <w:rFonts w:hint="eastAsia" w:ascii="宋体" w:hAnsi="宋体"/>
          <w:snapToGrid w:val="0"/>
          <w:kern w:val="0"/>
          <w:szCs w:val="21"/>
        </w:rPr>
        <w:t>比选申请人</w:t>
      </w:r>
      <w:r>
        <w:rPr>
          <w:rFonts w:ascii="宋体" w:hAnsi="宋体"/>
          <w:snapToGrid w:val="0"/>
          <w:kern w:val="0"/>
          <w:szCs w:val="21"/>
        </w:rPr>
        <w:t>须知前附表规定的时间前</w:t>
      </w:r>
      <w:r>
        <w:rPr>
          <w:rFonts w:hint="eastAsia" w:ascii="宋体" w:hAnsi="宋体"/>
          <w:kern w:val="0"/>
          <w:szCs w:val="21"/>
        </w:rPr>
        <w:t>提问</w:t>
      </w:r>
      <w:r>
        <w:rPr>
          <w:rFonts w:ascii="宋体" w:hAnsi="宋体"/>
          <w:snapToGrid w:val="0"/>
          <w:kern w:val="0"/>
          <w:szCs w:val="21"/>
        </w:rPr>
        <w:t>，要求</w:t>
      </w:r>
      <w:r>
        <w:rPr>
          <w:rFonts w:hint="eastAsia" w:ascii="宋体" w:hAnsi="宋体"/>
          <w:snapToGrid w:val="0"/>
          <w:kern w:val="0"/>
          <w:szCs w:val="21"/>
        </w:rPr>
        <w:t>比选人</w:t>
      </w:r>
      <w:r>
        <w:rPr>
          <w:rFonts w:ascii="宋体" w:hAnsi="宋体"/>
          <w:snapToGrid w:val="0"/>
          <w:kern w:val="0"/>
          <w:szCs w:val="21"/>
        </w:rPr>
        <w:t>对</w:t>
      </w:r>
      <w:r>
        <w:rPr>
          <w:rFonts w:hint="eastAsia" w:ascii="宋体" w:hAnsi="宋体"/>
          <w:snapToGrid w:val="0"/>
          <w:kern w:val="0"/>
          <w:szCs w:val="21"/>
        </w:rPr>
        <w:t>竞争性比选文件</w:t>
      </w:r>
      <w:r>
        <w:rPr>
          <w:rFonts w:ascii="宋体" w:hAnsi="宋体"/>
          <w:snapToGrid w:val="0"/>
          <w:kern w:val="0"/>
          <w:szCs w:val="21"/>
        </w:rPr>
        <w:t>予以澄清。</w:t>
      </w:r>
    </w:p>
    <w:p w14:paraId="195D015C">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竞争性比选文件</w:t>
      </w:r>
      <w:r>
        <w:rPr>
          <w:rFonts w:ascii="宋体" w:hAnsi="宋体"/>
          <w:snapToGrid w:val="0"/>
          <w:kern w:val="0"/>
          <w:szCs w:val="21"/>
        </w:rPr>
        <w:t>的澄清将在</w:t>
      </w:r>
      <w:r>
        <w:rPr>
          <w:rFonts w:hint="eastAsia" w:ascii="宋体" w:hAnsi="宋体"/>
          <w:snapToGrid w:val="0"/>
          <w:kern w:val="0"/>
          <w:szCs w:val="21"/>
        </w:rPr>
        <w:t>比选申请人</w:t>
      </w:r>
      <w:r>
        <w:rPr>
          <w:rFonts w:ascii="宋体" w:hAnsi="宋体"/>
          <w:snapToGrid w:val="0"/>
          <w:kern w:val="0"/>
          <w:szCs w:val="21"/>
        </w:rPr>
        <w:t>须知前附表规定的时间前</w:t>
      </w:r>
      <w:r>
        <w:rPr>
          <w:rFonts w:ascii="宋体" w:hAnsi="宋体"/>
          <w:kern w:val="0"/>
          <w:szCs w:val="21"/>
        </w:rPr>
        <w:t>发布</w:t>
      </w:r>
      <w:r>
        <w:rPr>
          <w:rFonts w:ascii="宋体" w:hAnsi="宋体"/>
          <w:snapToGrid w:val="0"/>
          <w:kern w:val="0"/>
          <w:szCs w:val="21"/>
        </w:rPr>
        <w:t>。</w:t>
      </w:r>
    </w:p>
    <w:p w14:paraId="07CD4A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rPr>
        <w:t>比选人</w:t>
      </w:r>
      <w:r>
        <w:rPr>
          <w:rFonts w:ascii="宋体" w:hAnsi="宋体"/>
          <w:kern w:val="0"/>
          <w:szCs w:val="21"/>
        </w:rPr>
        <w:t>对</w:t>
      </w:r>
      <w:r>
        <w:rPr>
          <w:rFonts w:hint="eastAsia" w:ascii="宋体" w:hAnsi="宋体"/>
          <w:kern w:val="0"/>
          <w:szCs w:val="21"/>
        </w:rPr>
        <w:t>竞争性比选文件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比选申请文件</w:t>
      </w:r>
      <w:r>
        <w:rPr>
          <w:rFonts w:ascii="宋体" w:hAnsi="宋体"/>
          <w:snapToGrid w:val="0"/>
          <w:kern w:val="0"/>
          <w:szCs w:val="21"/>
        </w:rPr>
        <w:t>编制的，须相应延后</w:t>
      </w:r>
      <w:r>
        <w:rPr>
          <w:rFonts w:hint="eastAsia" w:ascii="宋体" w:hAnsi="宋体"/>
          <w:snapToGrid w:val="0"/>
          <w:kern w:val="0"/>
          <w:szCs w:val="21"/>
        </w:rPr>
        <w:t>比选申请截止</w:t>
      </w:r>
      <w:r>
        <w:rPr>
          <w:rFonts w:ascii="宋体" w:hAnsi="宋体"/>
          <w:snapToGrid w:val="0"/>
          <w:kern w:val="0"/>
          <w:szCs w:val="21"/>
        </w:rPr>
        <w:t>时间。</w:t>
      </w:r>
    </w:p>
    <w:p w14:paraId="2A73C3D8">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2.3 比选申请文件递交截止时间</w:t>
      </w:r>
    </w:p>
    <w:p w14:paraId="7E042237">
      <w:pPr>
        <w:autoSpaceDE w:val="0"/>
        <w:autoSpaceDN w:val="0"/>
        <w:adjustRightInd w:val="0"/>
        <w:snapToGrid w:val="0"/>
        <w:spacing w:line="360" w:lineRule="auto"/>
        <w:ind w:firstLine="357" w:firstLineChars="17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见比选申请人须知前附表规定。</w:t>
      </w:r>
    </w:p>
    <w:p w14:paraId="7118EDAB">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177" w:name="_Toc19085"/>
      <w:r>
        <w:rPr>
          <w:rFonts w:hint="eastAsia" w:asciiTheme="majorEastAsia" w:hAnsiTheme="majorEastAsia" w:eastAsiaTheme="majorEastAsia" w:cstheme="majorEastAsia"/>
          <w:bCs/>
          <w:spacing w:val="0"/>
          <w:w w:val="100"/>
          <w:kern w:val="0"/>
          <w:sz w:val="21"/>
          <w:szCs w:val="21"/>
        </w:rPr>
        <w:t xml:space="preserve">3. </w:t>
      </w:r>
      <w:bookmarkEnd w:id="171"/>
      <w:bookmarkEnd w:id="172"/>
      <w:bookmarkEnd w:id="173"/>
      <w:bookmarkEnd w:id="174"/>
      <w:bookmarkEnd w:id="175"/>
      <w:r>
        <w:rPr>
          <w:rFonts w:hint="eastAsia" w:asciiTheme="majorEastAsia" w:hAnsiTheme="majorEastAsia" w:eastAsiaTheme="majorEastAsia" w:cstheme="majorEastAsia"/>
          <w:bCs/>
          <w:spacing w:val="0"/>
          <w:w w:val="100"/>
          <w:kern w:val="0"/>
          <w:sz w:val="21"/>
          <w:szCs w:val="21"/>
        </w:rPr>
        <w:t>比选申请文件</w:t>
      </w:r>
      <w:bookmarkEnd w:id="176"/>
      <w:bookmarkEnd w:id="177"/>
    </w:p>
    <w:p w14:paraId="50838B61">
      <w:pPr>
        <w:pStyle w:val="4"/>
        <w:snapToGrid w:val="0"/>
        <w:spacing w:before="0" w:line="360" w:lineRule="auto"/>
        <w:rPr>
          <w:rFonts w:asciiTheme="majorEastAsia" w:hAnsiTheme="majorEastAsia" w:eastAsiaTheme="majorEastAsia" w:cstheme="majorEastAsia"/>
          <w:snapToGrid w:val="0"/>
          <w:sz w:val="21"/>
          <w:szCs w:val="21"/>
        </w:rPr>
      </w:pPr>
      <w:bookmarkStart w:id="178" w:name="_Toc444155932"/>
      <w:bookmarkStart w:id="179" w:name="_Toc16394"/>
      <w:bookmarkStart w:id="180" w:name="_Toc200513145"/>
      <w:bookmarkStart w:id="181" w:name="_Toc14726"/>
      <w:bookmarkStart w:id="182" w:name="_Toc13900"/>
      <w:bookmarkStart w:id="183" w:name="_Toc3690"/>
      <w:r>
        <w:rPr>
          <w:rFonts w:hint="eastAsia" w:asciiTheme="majorEastAsia" w:hAnsiTheme="majorEastAsia" w:eastAsiaTheme="majorEastAsia" w:cstheme="majorEastAsia"/>
          <w:snapToGrid w:val="0"/>
          <w:sz w:val="21"/>
          <w:szCs w:val="21"/>
        </w:rPr>
        <w:t>3.1 比选申请文件的组成</w:t>
      </w:r>
      <w:bookmarkEnd w:id="178"/>
      <w:bookmarkEnd w:id="179"/>
      <w:bookmarkEnd w:id="180"/>
      <w:bookmarkEnd w:id="181"/>
      <w:bookmarkEnd w:id="182"/>
      <w:bookmarkEnd w:id="183"/>
    </w:p>
    <w:p w14:paraId="5B23EEA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84" w:name="_Toc200513146"/>
      <w:bookmarkStart w:id="185" w:name="_Toc444155933"/>
      <w:bookmarkStart w:id="186" w:name="_Toc31840"/>
      <w:bookmarkStart w:id="187" w:name="_Toc9566"/>
      <w:bookmarkStart w:id="188" w:name="_Toc28017"/>
      <w:r>
        <w:rPr>
          <w:rFonts w:hint="eastAsia" w:asciiTheme="majorEastAsia" w:hAnsiTheme="majorEastAsia" w:eastAsiaTheme="majorEastAsia" w:cstheme="majorEastAsia"/>
          <w:snapToGrid w:val="0"/>
          <w:kern w:val="0"/>
          <w:szCs w:val="21"/>
        </w:rPr>
        <w:t>见第七章。</w:t>
      </w:r>
    </w:p>
    <w:p w14:paraId="32A27F53">
      <w:pPr>
        <w:pStyle w:val="4"/>
        <w:snapToGrid w:val="0"/>
        <w:spacing w:before="0" w:line="360" w:lineRule="auto"/>
        <w:rPr>
          <w:rFonts w:asciiTheme="majorEastAsia" w:hAnsiTheme="majorEastAsia" w:eastAsiaTheme="majorEastAsia" w:cstheme="majorEastAsia"/>
          <w:snapToGrid w:val="0"/>
          <w:sz w:val="21"/>
          <w:szCs w:val="21"/>
        </w:rPr>
      </w:pPr>
      <w:bookmarkStart w:id="189" w:name="_Toc21895"/>
      <w:r>
        <w:rPr>
          <w:rFonts w:hint="eastAsia" w:asciiTheme="majorEastAsia" w:hAnsiTheme="majorEastAsia" w:eastAsiaTheme="majorEastAsia" w:cstheme="majorEastAsia"/>
          <w:snapToGrid w:val="0"/>
          <w:sz w:val="21"/>
          <w:szCs w:val="21"/>
        </w:rPr>
        <w:t xml:space="preserve">3.2 </w:t>
      </w:r>
      <w:bookmarkEnd w:id="184"/>
      <w:bookmarkEnd w:id="185"/>
      <w:bookmarkEnd w:id="186"/>
      <w:r>
        <w:rPr>
          <w:rFonts w:hint="eastAsia" w:asciiTheme="majorEastAsia" w:hAnsiTheme="majorEastAsia" w:eastAsiaTheme="majorEastAsia" w:cstheme="majorEastAsia"/>
          <w:snapToGrid w:val="0"/>
          <w:sz w:val="21"/>
          <w:szCs w:val="21"/>
        </w:rPr>
        <w:t>比选申请报价</w:t>
      </w:r>
      <w:bookmarkEnd w:id="187"/>
      <w:bookmarkEnd w:id="188"/>
      <w:bookmarkEnd w:id="189"/>
    </w:p>
    <w:p w14:paraId="11AE6BB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比选申请人应</w:t>
      </w:r>
      <w:r>
        <w:rPr>
          <w:rFonts w:hint="eastAsia" w:asciiTheme="majorEastAsia" w:hAnsiTheme="majorEastAsia" w:eastAsiaTheme="majorEastAsia" w:cstheme="majorEastAsia"/>
          <w:szCs w:val="21"/>
        </w:rPr>
        <w:t>参照比选申请人须知前附表3.2款</w:t>
      </w:r>
      <w:r>
        <w:rPr>
          <w:rFonts w:hint="eastAsia" w:asciiTheme="majorEastAsia" w:hAnsiTheme="majorEastAsia" w:eastAsiaTheme="majorEastAsia" w:cstheme="majorEastAsia"/>
          <w:snapToGrid w:val="0"/>
          <w:kern w:val="0"/>
          <w:szCs w:val="21"/>
        </w:rPr>
        <w:t>。</w:t>
      </w:r>
    </w:p>
    <w:p w14:paraId="2AF3E88C">
      <w:pPr>
        <w:pStyle w:val="4"/>
        <w:snapToGrid w:val="0"/>
        <w:spacing w:before="0" w:line="360" w:lineRule="auto"/>
        <w:rPr>
          <w:rFonts w:asciiTheme="majorEastAsia" w:hAnsiTheme="majorEastAsia" w:eastAsiaTheme="majorEastAsia" w:cstheme="majorEastAsia"/>
          <w:snapToGrid w:val="0"/>
          <w:sz w:val="21"/>
          <w:szCs w:val="21"/>
        </w:rPr>
      </w:pPr>
      <w:bookmarkStart w:id="190" w:name="_Toc17656"/>
      <w:bookmarkStart w:id="191" w:name="_Toc444155934"/>
      <w:bookmarkStart w:id="192" w:name="_Toc200513147"/>
      <w:bookmarkStart w:id="193" w:name="_Toc4106"/>
      <w:bookmarkStart w:id="194" w:name="_Toc24651"/>
      <w:bookmarkStart w:id="195" w:name="_Toc6616"/>
      <w:r>
        <w:rPr>
          <w:rFonts w:hint="eastAsia" w:asciiTheme="majorEastAsia" w:hAnsiTheme="majorEastAsia" w:eastAsiaTheme="majorEastAsia" w:cstheme="majorEastAsia"/>
          <w:snapToGrid w:val="0"/>
          <w:sz w:val="21"/>
          <w:szCs w:val="21"/>
        </w:rPr>
        <w:t xml:space="preserve">3.3 </w:t>
      </w:r>
      <w:bookmarkEnd w:id="190"/>
      <w:bookmarkEnd w:id="191"/>
      <w:bookmarkEnd w:id="192"/>
      <w:r>
        <w:rPr>
          <w:rFonts w:hint="eastAsia" w:asciiTheme="majorEastAsia" w:hAnsiTheme="majorEastAsia" w:eastAsiaTheme="majorEastAsia" w:cstheme="majorEastAsia"/>
          <w:snapToGrid w:val="0"/>
          <w:sz w:val="21"/>
          <w:szCs w:val="21"/>
        </w:rPr>
        <w:t>比选申请文件有效期</w:t>
      </w:r>
      <w:bookmarkEnd w:id="193"/>
      <w:bookmarkEnd w:id="194"/>
      <w:bookmarkEnd w:id="195"/>
    </w:p>
    <w:p w14:paraId="7578EBCC">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3.3.1 在比选申请人须知前附表规定的比选申请文件有效期内，比选申请人不得要求撤销或修改其比选申请文件。</w:t>
      </w:r>
    </w:p>
    <w:p w14:paraId="297B97C2">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3.3.2 出现特殊情况需要延长比选申请文件有效期的，比选人以书面形式通知所有比选申请人延长比选申请文件有效期。比选申请人同意延长的，应相应延长其</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保证金的有效期，但不得要求或被允许修改或撤销其比选申请文件；比选申请人拒绝延长的，其</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比选申请文件失效，但比选申请人有权收回其</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w:t>
      </w:r>
    </w:p>
    <w:p w14:paraId="5C625253">
      <w:pPr>
        <w:pStyle w:val="4"/>
        <w:snapToGrid w:val="0"/>
        <w:spacing w:before="0" w:line="360" w:lineRule="auto"/>
        <w:rPr>
          <w:rFonts w:asciiTheme="majorEastAsia" w:hAnsiTheme="majorEastAsia" w:eastAsiaTheme="majorEastAsia" w:cstheme="majorEastAsia"/>
          <w:snapToGrid w:val="0"/>
          <w:sz w:val="21"/>
          <w:szCs w:val="21"/>
        </w:rPr>
      </w:pPr>
      <w:bookmarkStart w:id="196" w:name="_Toc444155935"/>
      <w:bookmarkStart w:id="197" w:name="_Toc23124"/>
      <w:bookmarkStart w:id="198" w:name="_Toc200513148"/>
      <w:bookmarkStart w:id="199" w:name="_Toc17889"/>
      <w:bookmarkStart w:id="200" w:name="_Toc22726"/>
      <w:bookmarkStart w:id="201" w:name="_Toc10078"/>
      <w:r>
        <w:rPr>
          <w:rFonts w:hint="eastAsia" w:asciiTheme="majorEastAsia" w:hAnsiTheme="majorEastAsia" w:eastAsiaTheme="majorEastAsia" w:cstheme="majorEastAsia"/>
          <w:snapToGrid w:val="0"/>
          <w:sz w:val="21"/>
          <w:szCs w:val="21"/>
        </w:rPr>
        <w:t xml:space="preserve">3.4 </w:t>
      </w:r>
      <w:bookmarkEnd w:id="196"/>
      <w:bookmarkEnd w:id="197"/>
      <w:bookmarkEnd w:id="198"/>
      <w:r>
        <w:rPr>
          <w:rFonts w:hint="eastAsia" w:asciiTheme="majorEastAsia" w:hAnsiTheme="majorEastAsia" w:eastAsiaTheme="majorEastAsia" w:cstheme="majorEastAsia"/>
          <w:snapToGrid w:val="0"/>
          <w:sz w:val="21"/>
          <w:szCs w:val="21"/>
        </w:rPr>
        <w:t>比选申请保证金</w:t>
      </w:r>
      <w:bookmarkEnd w:id="199"/>
      <w:bookmarkEnd w:id="200"/>
      <w:bookmarkEnd w:id="201"/>
    </w:p>
    <w:p w14:paraId="4BA16C04">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02" w:name="_Toc200513150"/>
      <w:r>
        <w:rPr>
          <w:rFonts w:hint="eastAsia" w:asciiTheme="majorEastAsia" w:hAnsiTheme="majorEastAsia" w:eastAsiaTheme="majorEastAsia" w:cstheme="majorEastAsia"/>
          <w:snapToGrid w:val="0"/>
          <w:kern w:val="0"/>
          <w:szCs w:val="21"/>
        </w:rPr>
        <w:t>3.4.1 比选申请人在递交比选申请文件的同时，应按比选申请人须知前附表规定的金额、担保形式递交</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保证金，并作为其比选申请文件的组成部分。</w:t>
      </w:r>
    </w:p>
    <w:p w14:paraId="21BD646D">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3.4.2 比选申请人不按本章第3.4.1项要求提交</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保证金的，其比选申请文件作否决比选处理。</w:t>
      </w:r>
    </w:p>
    <w:p w14:paraId="4FFB4A84">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 xml:space="preserve">3.4.3 </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保证金退还：见比选申请人须知前附表。</w:t>
      </w:r>
    </w:p>
    <w:p w14:paraId="17E50662">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3.4.4 有下列情形之一的，</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保证金将不予退还：</w:t>
      </w:r>
    </w:p>
    <w:p w14:paraId="3F94F49A">
      <w:pPr>
        <w:autoSpaceDE w:val="0"/>
        <w:autoSpaceDN w:val="0"/>
        <w:adjustRightInd w:val="0"/>
        <w:snapToGrid w:val="0"/>
        <w:spacing w:line="360" w:lineRule="auto"/>
        <w:ind w:firstLine="420" w:firstLineChars="200"/>
        <w:rPr>
          <w:rFonts w:ascii="宋体" w:hAnsi="宋体"/>
          <w:snapToGrid w:val="0"/>
          <w:kern w:val="0"/>
          <w:szCs w:val="21"/>
        </w:rPr>
      </w:pPr>
      <w:bookmarkStart w:id="203" w:name="_Toc28288"/>
      <w:bookmarkStart w:id="204" w:name="_Toc21763"/>
      <w:bookmarkStart w:id="205" w:name="_Toc30056"/>
      <w:bookmarkStart w:id="206" w:name="_Toc444155936"/>
      <w:bookmarkStart w:id="207" w:name="_Toc17678"/>
      <w:r>
        <w:rPr>
          <w:rFonts w:ascii="宋体" w:hAnsi="宋体"/>
          <w:snapToGrid w:val="0"/>
          <w:kern w:val="0"/>
          <w:szCs w:val="21"/>
        </w:rPr>
        <w:t>（1）</w:t>
      </w:r>
      <w:r>
        <w:rPr>
          <w:rFonts w:hint="eastAsia" w:ascii="宋体" w:hAnsi="宋体"/>
          <w:snapToGrid w:val="0"/>
          <w:kern w:val="0"/>
          <w:szCs w:val="21"/>
        </w:rPr>
        <w:t>比选申请人</w:t>
      </w:r>
      <w:r>
        <w:rPr>
          <w:rFonts w:ascii="宋体" w:hAnsi="宋体"/>
          <w:snapToGrid w:val="0"/>
          <w:kern w:val="0"/>
          <w:szCs w:val="21"/>
        </w:rPr>
        <w:t>在规定的</w:t>
      </w:r>
      <w:r>
        <w:rPr>
          <w:rFonts w:hint="eastAsia" w:ascii="宋体" w:hAnsi="宋体"/>
          <w:snapToGrid w:val="0"/>
          <w:kern w:val="0"/>
          <w:szCs w:val="21"/>
        </w:rPr>
        <w:t>比选申请有效期</w:t>
      </w:r>
      <w:r>
        <w:rPr>
          <w:rFonts w:ascii="宋体" w:hAnsi="宋体"/>
          <w:snapToGrid w:val="0"/>
          <w:kern w:val="0"/>
          <w:szCs w:val="21"/>
        </w:rPr>
        <w:t>内撤销或修改其</w:t>
      </w:r>
      <w:r>
        <w:rPr>
          <w:rFonts w:hint="eastAsia" w:ascii="宋体" w:hAnsi="宋体"/>
          <w:snapToGrid w:val="0"/>
          <w:kern w:val="0"/>
          <w:szCs w:val="21"/>
        </w:rPr>
        <w:t>比选申请文件</w:t>
      </w:r>
      <w:r>
        <w:rPr>
          <w:rFonts w:ascii="宋体" w:hAnsi="宋体"/>
          <w:snapToGrid w:val="0"/>
          <w:kern w:val="0"/>
          <w:szCs w:val="21"/>
        </w:rPr>
        <w:t>；</w:t>
      </w:r>
    </w:p>
    <w:p w14:paraId="317CD42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中选人在收到中选通知书后，无正当理由不与比选人订立合同，在签订合同时向比选人提出附加条件，或者不按照竞争性比选文件要求提交履约保证金</w:t>
      </w:r>
      <w:r>
        <w:rPr>
          <w:rFonts w:ascii="宋体" w:hAnsi="宋体"/>
          <w:snapToGrid w:val="0"/>
          <w:kern w:val="0"/>
          <w:szCs w:val="21"/>
        </w:rPr>
        <w:t>；</w:t>
      </w:r>
    </w:p>
    <w:p w14:paraId="105B3DE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hint="eastAsia" w:ascii="宋体" w:hAnsi="宋体"/>
          <w:kern w:val="0"/>
          <w:szCs w:val="21"/>
        </w:rPr>
        <w:t>中选人（或拟中选人）拒不提供或者不按时提供低价风险担保（适用于经评审的最低比选申请价法）；</w:t>
      </w:r>
    </w:p>
    <w:p w14:paraId="76551EF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w:t>
      </w:r>
      <w:r>
        <w:rPr>
          <w:rFonts w:hint="eastAsia" w:ascii="宋体" w:hAnsi="宋体"/>
          <w:snapToGrid w:val="0"/>
          <w:kern w:val="0"/>
          <w:szCs w:val="21"/>
        </w:rPr>
        <w:t>比选申请人</w:t>
      </w:r>
      <w:r>
        <w:rPr>
          <w:rFonts w:ascii="宋体" w:hAnsi="宋体"/>
          <w:snapToGrid w:val="0"/>
          <w:kern w:val="0"/>
          <w:szCs w:val="21"/>
        </w:rPr>
        <w:t>的纪律要求的；</w:t>
      </w:r>
    </w:p>
    <w:p w14:paraId="0FDB9FC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）法律法规规定的其他情形。</w:t>
      </w:r>
    </w:p>
    <w:p w14:paraId="714A9150">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w:t>
      </w:r>
      <w:r>
        <w:rPr>
          <w:rFonts w:hint="eastAsia" w:ascii="宋体" w:hAnsi="宋体"/>
          <w:kern w:val="0"/>
        </w:rPr>
        <w:t>比选申请保证金</w:t>
      </w:r>
      <w:r>
        <w:rPr>
          <w:rFonts w:ascii="宋体" w:hAnsi="宋体"/>
          <w:kern w:val="0"/>
        </w:rPr>
        <w:t>为无条件担保；</w:t>
      </w:r>
    </w:p>
    <w:p w14:paraId="54ABC6FB">
      <w:pPr>
        <w:tabs>
          <w:tab w:val="left" w:pos="611"/>
          <w:tab w:val="left" w:pos="669"/>
        </w:tabs>
        <w:snapToGrid w:val="0"/>
        <w:spacing w:line="360" w:lineRule="auto"/>
        <w:ind w:firstLine="945" w:firstLineChars="450"/>
        <w:rPr>
          <w:rFonts w:ascii="宋体" w:hAnsi="宋体"/>
          <w:kern w:val="0"/>
        </w:rPr>
      </w:pPr>
      <w:r>
        <w:rPr>
          <w:rFonts w:ascii="宋体" w:hAnsi="宋体"/>
          <w:kern w:val="0"/>
        </w:rPr>
        <w:t>（2）</w:t>
      </w:r>
      <w:r>
        <w:rPr>
          <w:rFonts w:hint="eastAsia" w:ascii="宋体" w:hAnsi="宋体"/>
          <w:kern w:val="0"/>
        </w:rPr>
        <w:t>比选申请保证金</w:t>
      </w:r>
      <w:r>
        <w:rPr>
          <w:rFonts w:ascii="宋体" w:hAnsi="宋体"/>
          <w:kern w:val="0"/>
        </w:rPr>
        <w:t>的受益人为</w:t>
      </w:r>
      <w:r>
        <w:rPr>
          <w:rFonts w:hint="eastAsia" w:ascii="宋体" w:hAnsi="宋体"/>
          <w:kern w:val="0"/>
        </w:rPr>
        <w:t>比选人。</w:t>
      </w:r>
    </w:p>
    <w:p w14:paraId="0E1CB615">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3.5 资格审查资料</w:t>
      </w:r>
      <w:bookmarkEnd w:id="202"/>
      <w:bookmarkEnd w:id="203"/>
      <w:bookmarkEnd w:id="204"/>
      <w:bookmarkEnd w:id="205"/>
      <w:bookmarkEnd w:id="206"/>
      <w:bookmarkEnd w:id="207"/>
    </w:p>
    <w:p w14:paraId="291FF0A3">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按本章须知第1.4.1项的规定执行。</w:t>
      </w:r>
    </w:p>
    <w:p w14:paraId="5F19610F">
      <w:pPr>
        <w:pStyle w:val="4"/>
        <w:snapToGrid w:val="0"/>
        <w:spacing w:before="0" w:line="360" w:lineRule="auto"/>
        <w:rPr>
          <w:rFonts w:asciiTheme="majorEastAsia" w:hAnsiTheme="majorEastAsia" w:eastAsiaTheme="majorEastAsia" w:cstheme="majorEastAsia"/>
          <w:snapToGrid w:val="0"/>
          <w:sz w:val="21"/>
          <w:szCs w:val="21"/>
        </w:rPr>
      </w:pPr>
      <w:bookmarkStart w:id="208" w:name="_Toc200513151"/>
      <w:bookmarkStart w:id="209" w:name="_Toc23582"/>
      <w:bookmarkStart w:id="210" w:name="_Toc22565"/>
      <w:bookmarkStart w:id="211" w:name="_Toc13792"/>
      <w:bookmarkStart w:id="212" w:name="_Toc444155937"/>
      <w:bookmarkStart w:id="213" w:name="_Toc32516"/>
      <w:r>
        <w:rPr>
          <w:rFonts w:hint="eastAsia" w:asciiTheme="majorEastAsia" w:hAnsiTheme="majorEastAsia" w:eastAsiaTheme="majorEastAsia" w:cstheme="majorEastAsia"/>
          <w:snapToGrid w:val="0"/>
          <w:sz w:val="21"/>
          <w:szCs w:val="21"/>
        </w:rPr>
        <w:t>3.6 备选比选申请方案</w:t>
      </w:r>
      <w:bookmarkEnd w:id="208"/>
      <w:bookmarkEnd w:id="209"/>
      <w:bookmarkEnd w:id="210"/>
      <w:bookmarkEnd w:id="211"/>
      <w:bookmarkEnd w:id="212"/>
      <w:bookmarkEnd w:id="213"/>
    </w:p>
    <w:p w14:paraId="068A3156">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比选申请人不得递交备选方案。</w:t>
      </w:r>
    </w:p>
    <w:p w14:paraId="3BE66764">
      <w:pPr>
        <w:pStyle w:val="4"/>
        <w:snapToGrid w:val="0"/>
        <w:spacing w:before="0" w:line="360" w:lineRule="auto"/>
        <w:rPr>
          <w:rFonts w:asciiTheme="majorEastAsia" w:hAnsiTheme="majorEastAsia" w:eastAsiaTheme="majorEastAsia" w:cstheme="majorEastAsia"/>
          <w:snapToGrid w:val="0"/>
          <w:sz w:val="21"/>
          <w:szCs w:val="21"/>
        </w:rPr>
      </w:pPr>
      <w:bookmarkStart w:id="214" w:name="_Toc444155938"/>
      <w:bookmarkStart w:id="215" w:name="_Toc23962"/>
      <w:bookmarkStart w:id="216" w:name="_Toc11016"/>
      <w:bookmarkStart w:id="217" w:name="_Toc186"/>
      <w:bookmarkStart w:id="218" w:name="_Toc10960"/>
      <w:r>
        <w:rPr>
          <w:rFonts w:hint="eastAsia" w:asciiTheme="majorEastAsia" w:hAnsiTheme="majorEastAsia" w:eastAsiaTheme="majorEastAsia" w:cstheme="majorEastAsia"/>
          <w:snapToGrid w:val="0"/>
          <w:sz w:val="21"/>
          <w:szCs w:val="21"/>
        </w:rPr>
        <w:t>3.7 比选申请文件的编制</w:t>
      </w:r>
      <w:bookmarkEnd w:id="214"/>
      <w:bookmarkEnd w:id="215"/>
      <w:bookmarkEnd w:id="216"/>
      <w:bookmarkEnd w:id="217"/>
      <w:bookmarkEnd w:id="218"/>
    </w:p>
    <w:p w14:paraId="68C635EB">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19" w:name="_Toc200513153"/>
      <w:r>
        <w:rPr>
          <w:rFonts w:hint="eastAsia" w:asciiTheme="majorEastAsia" w:hAnsiTheme="majorEastAsia" w:eastAsiaTheme="majorEastAsia" w:cstheme="majorEastAsia"/>
          <w:snapToGrid w:val="0"/>
          <w:kern w:val="0"/>
          <w:szCs w:val="21"/>
        </w:rPr>
        <w:t>3.7.1 比选申请文件应按第七章“比选申请文件格式”进行编写，如有必要，可以增加附页，作为比选申请文件的组成部分。可以提出比竞争性比选文件要求更有利于比选人的承诺。</w:t>
      </w:r>
    </w:p>
    <w:p w14:paraId="369D2B02">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3.7.2 比选申请文件应当对竞争性比选文件有关服务期限、比选申请文件有效期、质量要求、技术标准和要求、</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范围等实质性内容做出响应。</w:t>
      </w:r>
    </w:p>
    <w:p w14:paraId="7C594EC1">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3.7.3 比选申请文件应用不褪色的材料书写或打印，并由比选申请人的法定代表人或其委托代理人签字或盖章并加盖单位公章。委托代理人签字或盖章的，比选申请文件应附法定代表人签署的授权委托书。比选申请文件应尽量避免涂改、行间插字或删除。如果出现上述情况，改动之处应加盖单位公章或由比选申请人的法定代表人或其授权的代理人签字或盖章确认。</w:t>
      </w:r>
    </w:p>
    <w:p w14:paraId="2ECCF7B7">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3.7.4 比选申请文件正本一份，副本份数见比选申请人须知前附表。正本和副本的封面上应清楚地标记“正本”或“副本”的字样，正本封面均须加盖单位公章（鲜章）。当副本和正本不一致时，以正本为准。</w:t>
      </w:r>
    </w:p>
    <w:p w14:paraId="7DC9A96E">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3.7.5 比选申请文件的正本与副本应分别装订成册，并编制目录，具体装订要求见比选申请人须知前附表规定。</w:t>
      </w:r>
    </w:p>
    <w:p w14:paraId="1C9D3A7A">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220" w:name="_Toc22541"/>
      <w:bookmarkStart w:id="221" w:name="_Toc444155939"/>
      <w:bookmarkStart w:id="222" w:name="_Toc29832"/>
      <w:bookmarkStart w:id="223" w:name="_Toc20250"/>
      <w:bookmarkStart w:id="224" w:name="_Toc18299"/>
      <w:bookmarkStart w:id="225" w:name="_Toc4165"/>
      <w:r>
        <w:rPr>
          <w:rFonts w:hint="eastAsia" w:asciiTheme="majorEastAsia" w:hAnsiTheme="majorEastAsia" w:eastAsiaTheme="majorEastAsia" w:cstheme="majorEastAsia"/>
          <w:bCs/>
          <w:spacing w:val="0"/>
          <w:w w:val="100"/>
          <w:kern w:val="0"/>
          <w:sz w:val="21"/>
          <w:szCs w:val="21"/>
        </w:rPr>
        <w:t xml:space="preserve">4. </w:t>
      </w:r>
      <w:bookmarkEnd w:id="219"/>
      <w:bookmarkEnd w:id="220"/>
      <w:bookmarkEnd w:id="221"/>
      <w:bookmarkEnd w:id="222"/>
      <w:bookmarkEnd w:id="223"/>
      <w:bookmarkEnd w:id="224"/>
      <w:r>
        <w:rPr>
          <w:rFonts w:hint="eastAsia" w:asciiTheme="majorEastAsia" w:hAnsiTheme="majorEastAsia" w:eastAsiaTheme="majorEastAsia" w:cstheme="majorEastAsia"/>
          <w:bCs/>
          <w:spacing w:val="0"/>
          <w:w w:val="100"/>
          <w:kern w:val="0"/>
          <w:sz w:val="21"/>
          <w:szCs w:val="21"/>
        </w:rPr>
        <w:t>比选申请</w:t>
      </w:r>
      <w:bookmarkEnd w:id="225"/>
    </w:p>
    <w:p w14:paraId="0790BCE6">
      <w:pPr>
        <w:pStyle w:val="4"/>
        <w:snapToGrid w:val="0"/>
        <w:spacing w:before="0" w:line="360" w:lineRule="auto"/>
        <w:rPr>
          <w:rFonts w:asciiTheme="majorEastAsia" w:hAnsiTheme="majorEastAsia" w:eastAsiaTheme="majorEastAsia" w:cstheme="majorEastAsia"/>
          <w:snapToGrid w:val="0"/>
          <w:sz w:val="21"/>
          <w:szCs w:val="21"/>
        </w:rPr>
      </w:pPr>
      <w:bookmarkStart w:id="226" w:name="_Toc3204"/>
      <w:bookmarkStart w:id="227" w:name="_Toc444155940"/>
      <w:bookmarkStart w:id="228" w:name="_Toc200513154"/>
      <w:bookmarkStart w:id="229" w:name="_Toc7204"/>
      <w:bookmarkStart w:id="230" w:name="_Toc9316"/>
      <w:bookmarkStart w:id="231" w:name="_Toc14282"/>
      <w:r>
        <w:rPr>
          <w:rFonts w:hint="eastAsia" w:asciiTheme="majorEastAsia" w:hAnsiTheme="majorEastAsia" w:eastAsiaTheme="majorEastAsia" w:cstheme="majorEastAsia"/>
          <w:snapToGrid w:val="0"/>
          <w:sz w:val="21"/>
          <w:szCs w:val="21"/>
        </w:rPr>
        <w:t>4.1 比选申请文件的密封和标记</w:t>
      </w:r>
      <w:bookmarkEnd w:id="226"/>
      <w:bookmarkEnd w:id="227"/>
      <w:bookmarkEnd w:id="228"/>
      <w:bookmarkEnd w:id="229"/>
      <w:bookmarkEnd w:id="230"/>
      <w:bookmarkEnd w:id="231"/>
    </w:p>
    <w:p w14:paraId="0424D96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232" w:name="_Toc200513155"/>
      <w:r>
        <w:rPr>
          <w:rFonts w:hint="eastAsia" w:asciiTheme="majorEastAsia" w:hAnsiTheme="majorEastAsia" w:eastAsiaTheme="majorEastAsia" w:cstheme="majorEastAsia"/>
          <w:snapToGrid w:val="0"/>
          <w:kern w:val="0"/>
          <w:szCs w:val="21"/>
        </w:rPr>
        <w:t>4.1.1 比选申请文件的正本与副本密封见比选申请人须知前附表。</w:t>
      </w:r>
    </w:p>
    <w:p w14:paraId="487F028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4.1.2 比选申请文件的封套上应写明的内容见比选申请人须知前附表。</w:t>
      </w:r>
      <w:bookmarkStart w:id="233" w:name="OLE_LINK135"/>
      <w:bookmarkStart w:id="234" w:name="OLE_LINK136"/>
    </w:p>
    <w:bookmarkEnd w:id="233"/>
    <w:bookmarkEnd w:id="234"/>
    <w:p w14:paraId="30294BF7">
      <w:pPr>
        <w:pStyle w:val="4"/>
        <w:snapToGrid w:val="0"/>
        <w:spacing w:before="0" w:line="360" w:lineRule="auto"/>
        <w:rPr>
          <w:rFonts w:asciiTheme="majorEastAsia" w:hAnsiTheme="majorEastAsia" w:eastAsiaTheme="majorEastAsia" w:cstheme="majorEastAsia"/>
          <w:snapToGrid w:val="0"/>
          <w:sz w:val="21"/>
          <w:szCs w:val="21"/>
        </w:rPr>
      </w:pPr>
      <w:bookmarkStart w:id="235" w:name="_Toc32182"/>
      <w:bookmarkStart w:id="236" w:name="_Toc444155941"/>
      <w:bookmarkStart w:id="237" w:name="_Toc24971"/>
      <w:bookmarkStart w:id="238" w:name="_Toc10680"/>
      <w:bookmarkStart w:id="239" w:name="_Toc18168"/>
      <w:r>
        <w:rPr>
          <w:rFonts w:hint="eastAsia" w:asciiTheme="majorEastAsia" w:hAnsiTheme="majorEastAsia" w:eastAsiaTheme="majorEastAsia" w:cstheme="majorEastAsia"/>
          <w:snapToGrid w:val="0"/>
          <w:sz w:val="21"/>
          <w:szCs w:val="21"/>
        </w:rPr>
        <w:t>4.2 比选申请文件的递交</w:t>
      </w:r>
      <w:bookmarkEnd w:id="232"/>
      <w:bookmarkEnd w:id="235"/>
      <w:bookmarkEnd w:id="236"/>
      <w:bookmarkEnd w:id="237"/>
      <w:bookmarkEnd w:id="238"/>
      <w:bookmarkEnd w:id="239"/>
    </w:p>
    <w:p w14:paraId="6C23092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240" w:name="OLE_LINK138"/>
      <w:bookmarkStart w:id="241" w:name="OLE_LINK137"/>
      <w:r>
        <w:rPr>
          <w:rFonts w:hint="eastAsia" w:asciiTheme="majorEastAsia" w:hAnsiTheme="majorEastAsia" w:eastAsiaTheme="majorEastAsia" w:cstheme="majorEastAsia"/>
          <w:snapToGrid w:val="0"/>
          <w:kern w:val="0"/>
          <w:szCs w:val="21"/>
        </w:rPr>
        <w:t>4.2.1 比选申请人应在本章第2.3项规定的递交比选申请文件截止时间前递交比选申请文件。</w:t>
      </w:r>
    </w:p>
    <w:p w14:paraId="6E11875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4.2.2 比选申请人递交比选申请文件的地点：见比选申请人须知前附表。</w:t>
      </w:r>
    </w:p>
    <w:p w14:paraId="76B2FA3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4.2.3 除比选申请人须知前附表另有规定外，比选申请人所递交的比选申请文件不予退还。</w:t>
      </w:r>
    </w:p>
    <w:p w14:paraId="5C48CBA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4.2.4 逾期送达的或者未送达指定地点的比选申请文件，比选人不予受理。</w:t>
      </w:r>
    </w:p>
    <w:bookmarkEnd w:id="240"/>
    <w:bookmarkEnd w:id="241"/>
    <w:p w14:paraId="53ABB87D">
      <w:pPr>
        <w:pStyle w:val="4"/>
        <w:snapToGrid w:val="0"/>
        <w:spacing w:before="0" w:line="360" w:lineRule="auto"/>
        <w:rPr>
          <w:rFonts w:asciiTheme="majorEastAsia" w:hAnsiTheme="majorEastAsia" w:eastAsiaTheme="majorEastAsia" w:cstheme="majorEastAsia"/>
          <w:snapToGrid w:val="0"/>
          <w:sz w:val="21"/>
          <w:szCs w:val="21"/>
        </w:rPr>
      </w:pPr>
      <w:bookmarkStart w:id="242" w:name="_Toc444155942"/>
      <w:bookmarkStart w:id="243" w:name="_Toc610"/>
      <w:bookmarkStart w:id="244" w:name="_Toc200513156"/>
      <w:bookmarkStart w:id="245" w:name="_Toc27488"/>
      <w:bookmarkStart w:id="246" w:name="_Toc31565"/>
      <w:bookmarkStart w:id="247" w:name="_Toc23600"/>
      <w:r>
        <w:rPr>
          <w:rFonts w:hint="eastAsia" w:asciiTheme="majorEastAsia" w:hAnsiTheme="majorEastAsia" w:eastAsiaTheme="majorEastAsia" w:cstheme="majorEastAsia"/>
          <w:snapToGrid w:val="0"/>
          <w:sz w:val="21"/>
          <w:szCs w:val="21"/>
        </w:rPr>
        <w:t>4.3 比选申请文件的修改与撤回</w:t>
      </w:r>
      <w:bookmarkEnd w:id="242"/>
      <w:bookmarkEnd w:id="243"/>
      <w:bookmarkEnd w:id="244"/>
      <w:bookmarkEnd w:id="245"/>
      <w:bookmarkEnd w:id="246"/>
      <w:bookmarkEnd w:id="247"/>
    </w:p>
    <w:p w14:paraId="0CF6AF9E">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4.3.1 在本章第2.3项规定的递交比选申请文件截止时间前，比选申请人可以修改或撤回已递交的比选申请文件，但应以书面形式通知比选人。</w:t>
      </w:r>
    </w:p>
    <w:p w14:paraId="6B1369C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4.3.2 比选申请人修改或撤回已递交比选申请文件的书面通知应按照本章第3.7.3项的要求签字或盖章。比选人收到书面通知后，向比选申请人出具签收凭证。</w:t>
      </w:r>
    </w:p>
    <w:p w14:paraId="050D4F17">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4.3.3 修改的内容为比选申请文件的组成部分。修改的比选申请文件应按照本章第3条、第4条规定进行编制、密封、标记和递交，并标明“修改”字样。</w:t>
      </w:r>
    </w:p>
    <w:p w14:paraId="2A0E1B5C">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248" w:name="_Toc200513157"/>
      <w:bookmarkStart w:id="249" w:name="_Toc19714"/>
      <w:bookmarkStart w:id="250" w:name="_Toc444155943"/>
      <w:bookmarkStart w:id="251" w:name="_Toc5249"/>
      <w:bookmarkStart w:id="252" w:name="_Toc26099"/>
      <w:bookmarkStart w:id="253" w:name="_Toc29216"/>
      <w:bookmarkStart w:id="254" w:name="_Toc25319"/>
      <w:r>
        <w:rPr>
          <w:rFonts w:hint="eastAsia" w:asciiTheme="majorEastAsia" w:hAnsiTheme="majorEastAsia" w:eastAsiaTheme="majorEastAsia" w:cstheme="majorEastAsia"/>
          <w:bCs/>
          <w:spacing w:val="0"/>
          <w:w w:val="100"/>
          <w:kern w:val="0"/>
          <w:sz w:val="21"/>
          <w:szCs w:val="21"/>
        </w:rPr>
        <w:t xml:space="preserve">5. </w:t>
      </w:r>
      <w:bookmarkEnd w:id="248"/>
      <w:bookmarkEnd w:id="249"/>
      <w:bookmarkEnd w:id="250"/>
      <w:r>
        <w:rPr>
          <w:rFonts w:hint="eastAsia" w:asciiTheme="majorEastAsia" w:hAnsiTheme="majorEastAsia" w:eastAsiaTheme="majorEastAsia" w:cstheme="majorEastAsia"/>
          <w:bCs/>
          <w:spacing w:val="0"/>
          <w:w w:val="100"/>
          <w:kern w:val="0"/>
          <w:sz w:val="21"/>
          <w:szCs w:val="21"/>
        </w:rPr>
        <w:t>开</w:t>
      </w:r>
      <w:bookmarkEnd w:id="251"/>
      <w:bookmarkEnd w:id="252"/>
      <w:bookmarkEnd w:id="253"/>
      <w:r>
        <w:rPr>
          <w:rFonts w:hint="eastAsia" w:asciiTheme="majorEastAsia" w:hAnsiTheme="majorEastAsia" w:eastAsiaTheme="majorEastAsia" w:cstheme="majorEastAsia"/>
          <w:bCs/>
          <w:spacing w:val="0"/>
          <w:w w:val="100"/>
          <w:kern w:val="0"/>
          <w:sz w:val="21"/>
          <w:szCs w:val="21"/>
        </w:rPr>
        <w:t>标</w:t>
      </w:r>
      <w:bookmarkEnd w:id="254"/>
    </w:p>
    <w:p w14:paraId="48C490DB">
      <w:pPr>
        <w:pStyle w:val="4"/>
        <w:snapToGrid w:val="0"/>
        <w:spacing w:before="0" w:line="360" w:lineRule="auto"/>
        <w:rPr>
          <w:rFonts w:asciiTheme="majorEastAsia" w:hAnsiTheme="majorEastAsia" w:eastAsiaTheme="majorEastAsia" w:cstheme="majorEastAsia"/>
          <w:snapToGrid w:val="0"/>
          <w:sz w:val="21"/>
          <w:szCs w:val="21"/>
        </w:rPr>
      </w:pPr>
      <w:bookmarkStart w:id="255" w:name="_Toc425350170"/>
      <w:bookmarkStart w:id="256" w:name="_Toc425327560"/>
      <w:bookmarkStart w:id="257" w:name="_Toc26082"/>
      <w:bookmarkStart w:id="258" w:name="_Toc445821125"/>
      <w:bookmarkStart w:id="259" w:name="_Toc425327680"/>
      <w:bookmarkStart w:id="260" w:name="_Toc277082584"/>
      <w:bookmarkStart w:id="261" w:name="_Toc11901"/>
      <w:bookmarkStart w:id="262" w:name="_Toc31602"/>
      <w:bookmarkStart w:id="263" w:name="_Toc224103349"/>
      <w:bookmarkStart w:id="264" w:name="_Toc200513158"/>
      <w:bookmarkStart w:id="265" w:name="_Toc1789"/>
      <w:bookmarkStart w:id="266" w:name="_Toc287607778"/>
      <w:bookmarkStart w:id="267" w:name="_Toc200513160"/>
      <w:r>
        <w:rPr>
          <w:rFonts w:hint="eastAsia" w:asciiTheme="majorEastAsia" w:hAnsiTheme="majorEastAsia" w:eastAsiaTheme="majorEastAsia" w:cstheme="majorEastAsia"/>
          <w:snapToGrid w:val="0"/>
          <w:sz w:val="21"/>
          <w:szCs w:val="21"/>
        </w:rPr>
        <w:t>5.1开启比选申请文件时间和地点</w:t>
      </w:r>
      <w:bookmarkEnd w:id="255"/>
      <w:bookmarkEnd w:id="256"/>
      <w:bookmarkEnd w:id="257"/>
      <w:bookmarkEnd w:id="258"/>
      <w:bookmarkEnd w:id="259"/>
      <w:bookmarkEnd w:id="260"/>
      <w:bookmarkEnd w:id="261"/>
      <w:bookmarkEnd w:id="262"/>
      <w:bookmarkEnd w:id="263"/>
      <w:bookmarkEnd w:id="264"/>
      <w:bookmarkEnd w:id="265"/>
      <w:bookmarkEnd w:id="266"/>
    </w:p>
    <w:p w14:paraId="6E732189">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68" w:name="_Toc425327681"/>
      <w:bookmarkStart w:id="269" w:name="_Toc277082585"/>
      <w:bookmarkStart w:id="270" w:name="_Toc224103350"/>
      <w:bookmarkStart w:id="271" w:name="_Toc445821126"/>
      <w:bookmarkStart w:id="272" w:name="_Toc425327561"/>
      <w:bookmarkStart w:id="273" w:name="_Toc425350171"/>
      <w:bookmarkStart w:id="274" w:name="_Toc200513159"/>
      <w:bookmarkStart w:id="275" w:name="_Toc287607779"/>
      <w:r>
        <w:rPr>
          <w:rFonts w:hint="eastAsia" w:asciiTheme="majorEastAsia" w:hAnsiTheme="majorEastAsia" w:eastAsiaTheme="majorEastAsia" w:cstheme="majorEastAsia"/>
          <w:snapToGrid w:val="0"/>
          <w:kern w:val="0"/>
          <w:szCs w:val="21"/>
        </w:rPr>
        <w:t>见比选申请人须知前附表。</w:t>
      </w:r>
    </w:p>
    <w:p w14:paraId="182D68F0">
      <w:pPr>
        <w:pStyle w:val="4"/>
        <w:snapToGrid w:val="0"/>
        <w:spacing w:before="0" w:line="360" w:lineRule="auto"/>
        <w:rPr>
          <w:rFonts w:asciiTheme="majorEastAsia" w:hAnsiTheme="majorEastAsia" w:eastAsiaTheme="majorEastAsia" w:cstheme="majorEastAsia"/>
          <w:snapToGrid w:val="0"/>
          <w:sz w:val="21"/>
          <w:szCs w:val="21"/>
        </w:rPr>
      </w:pPr>
      <w:bookmarkStart w:id="276" w:name="_Toc32113"/>
      <w:bookmarkStart w:id="277" w:name="_Toc1751"/>
      <w:bookmarkStart w:id="278" w:name="_Toc31618"/>
      <w:bookmarkStart w:id="279" w:name="_Toc11177"/>
      <w:r>
        <w:rPr>
          <w:rFonts w:hint="eastAsia" w:asciiTheme="majorEastAsia" w:hAnsiTheme="majorEastAsia" w:eastAsiaTheme="majorEastAsia" w:cstheme="majorEastAsia"/>
          <w:snapToGrid w:val="0"/>
          <w:sz w:val="21"/>
          <w:szCs w:val="21"/>
        </w:rPr>
        <w:t>5.2开启比选申请文件程序</w:t>
      </w:r>
      <w:bookmarkEnd w:id="268"/>
      <w:bookmarkEnd w:id="269"/>
      <w:bookmarkEnd w:id="270"/>
      <w:bookmarkEnd w:id="271"/>
      <w:bookmarkEnd w:id="272"/>
      <w:bookmarkEnd w:id="273"/>
      <w:bookmarkEnd w:id="274"/>
      <w:bookmarkEnd w:id="275"/>
      <w:bookmarkEnd w:id="276"/>
      <w:bookmarkEnd w:id="277"/>
      <w:bookmarkEnd w:id="278"/>
      <w:bookmarkEnd w:id="279"/>
    </w:p>
    <w:p w14:paraId="2F18EBD1">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见比选申请人须知前附表第5.2款</w:t>
      </w:r>
      <w:r>
        <w:rPr>
          <w:rFonts w:hint="eastAsia" w:asciiTheme="majorEastAsia" w:hAnsiTheme="majorEastAsia" w:eastAsiaTheme="majorEastAsia" w:cstheme="majorEastAsia"/>
          <w:kern w:val="0"/>
          <w:szCs w:val="21"/>
        </w:rPr>
        <w:t>开启比选申请文件程序</w:t>
      </w:r>
      <w:r>
        <w:rPr>
          <w:rFonts w:hint="eastAsia" w:asciiTheme="majorEastAsia" w:hAnsiTheme="majorEastAsia" w:eastAsiaTheme="majorEastAsia" w:cstheme="majorEastAsia"/>
          <w:snapToGrid w:val="0"/>
          <w:kern w:val="0"/>
          <w:szCs w:val="21"/>
        </w:rPr>
        <w:t>。</w:t>
      </w:r>
    </w:p>
    <w:p w14:paraId="38837CFF">
      <w:pPr>
        <w:pStyle w:val="3"/>
        <w:textAlignment w:val="baseline"/>
        <w:rPr>
          <w:rFonts w:asciiTheme="majorEastAsia" w:hAnsiTheme="majorEastAsia" w:eastAsiaTheme="majorEastAsia" w:cstheme="majorEastAsia"/>
          <w:snapToGrid w:val="0"/>
          <w:spacing w:val="0"/>
          <w:w w:val="100"/>
          <w:sz w:val="21"/>
          <w:szCs w:val="21"/>
        </w:rPr>
      </w:pPr>
      <w:bookmarkStart w:id="280" w:name="_Toc22268"/>
      <w:bookmarkStart w:id="281" w:name="_Toc2331"/>
      <w:bookmarkStart w:id="282" w:name="_Toc444155946"/>
      <w:bookmarkStart w:id="283" w:name="_Toc5896"/>
      <w:bookmarkStart w:id="284" w:name="_Toc6159"/>
      <w:bookmarkStart w:id="285" w:name="_Toc24696"/>
      <w:r>
        <w:rPr>
          <w:rFonts w:hint="eastAsia" w:asciiTheme="majorEastAsia" w:hAnsiTheme="majorEastAsia" w:eastAsiaTheme="majorEastAsia" w:cstheme="majorEastAsia"/>
          <w:snapToGrid w:val="0"/>
          <w:spacing w:val="0"/>
          <w:w w:val="100"/>
          <w:sz w:val="21"/>
          <w:szCs w:val="21"/>
        </w:rPr>
        <w:t xml:space="preserve">6. </w:t>
      </w:r>
      <w:bookmarkEnd w:id="267"/>
      <w:bookmarkEnd w:id="280"/>
      <w:bookmarkEnd w:id="281"/>
      <w:bookmarkEnd w:id="282"/>
      <w:r>
        <w:rPr>
          <w:rFonts w:hint="eastAsia" w:asciiTheme="majorEastAsia" w:hAnsiTheme="majorEastAsia" w:eastAsiaTheme="majorEastAsia" w:cstheme="majorEastAsia"/>
          <w:snapToGrid w:val="0"/>
          <w:spacing w:val="0"/>
          <w:w w:val="100"/>
          <w:sz w:val="21"/>
          <w:szCs w:val="21"/>
        </w:rPr>
        <w:t>评审</w:t>
      </w:r>
      <w:bookmarkEnd w:id="283"/>
      <w:bookmarkEnd w:id="284"/>
      <w:bookmarkEnd w:id="285"/>
    </w:p>
    <w:p w14:paraId="0EFDFCFE">
      <w:pPr>
        <w:pStyle w:val="4"/>
        <w:snapToGrid w:val="0"/>
        <w:spacing w:before="0" w:line="360" w:lineRule="auto"/>
        <w:rPr>
          <w:rFonts w:asciiTheme="majorEastAsia" w:hAnsiTheme="majorEastAsia" w:eastAsiaTheme="majorEastAsia" w:cstheme="majorEastAsia"/>
          <w:snapToGrid w:val="0"/>
          <w:sz w:val="21"/>
          <w:szCs w:val="21"/>
        </w:rPr>
      </w:pPr>
      <w:bookmarkStart w:id="286" w:name="_Toc5489"/>
      <w:bookmarkStart w:id="287" w:name="_Toc200513161"/>
      <w:bookmarkStart w:id="288" w:name="_Toc2212"/>
      <w:bookmarkStart w:id="289" w:name="_Toc444155947"/>
      <w:bookmarkStart w:id="290" w:name="_Toc24412"/>
      <w:bookmarkStart w:id="291" w:name="_Toc19076"/>
      <w:r>
        <w:rPr>
          <w:rFonts w:hint="eastAsia" w:asciiTheme="majorEastAsia" w:hAnsiTheme="majorEastAsia" w:eastAsiaTheme="majorEastAsia" w:cstheme="majorEastAsia"/>
          <w:snapToGrid w:val="0"/>
          <w:sz w:val="21"/>
          <w:szCs w:val="21"/>
        </w:rPr>
        <w:t xml:space="preserve">6.1 </w:t>
      </w:r>
      <w:bookmarkEnd w:id="286"/>
      <w:bookmarkEnd w:id="287"/>
      <w:bookmarkEnd w:id="288"/>
      <w:bookmarkEnd w:id="289"/>
      <w:r>
        <w:rPr>
          <w:rFonts w:hint="eastAsia" w:asciiTheme="majorEastAsia" w:hAnsiTheme="majorEastAsia" w:eastAsiaTheme="majorEastAsia" w:cstheme="majorEastAsia"/>
          <w:snapToGrid w:val="0"/>
          <w:sz w:val="21"/>
          <w:szCs w:val="21"/>
        </w:rPr>
        <w:t>评审小组</w:t>
      </w:r>
      <w:bookmarkEnd w:id="290"/>
      <w:bookmarkEnd w:id="291"/>
    </w:p>
    <w:p w14:paraId="6090A17F">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92" w:name="_Toc200513162"/>
      <w:r>
        <w:rPr>
          <w:rFonts w:hint="eastAsia" w:asciiTheme="majorEastAsia" w:hAnsiTheme="majorEastAsia" w:eastAsiaTheme="majorEastAsia" w:cstheme="majorEastAsia"/>
          <w:snapToGrid w:val="0"/>
          <w:kern w:val="0"/>
          <w:szCs w:val="21"/>
        </w:rPr>
        <w:t>6.1.1 评审由评审小组负责。</w:t>
      </w:r>
      <w:bookmarkStart w:id="293" w:name="OLE_LINK140"/>
      <w:bookmarkStart w:id="294" w:name="OLE_LINK139"/>
      <w:r>
        <w:rPr>
          <w:rFonts w:hint="eastAsia" w:asciiTheme="majorEastAsia" w:hAnsiTheme="majorEastAsia" w:eastAsiaTheme="majorEastAsia" w:cstheme="majorEastAsia"/>
          <w:snapToGrid w:val="0"/>
          <w:kern w:val="0"/>
          <w:szCs w:val="21"/>
        </w:rPr>
        <w:t>评审小组由</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代理机构按相关要求抽取的技术、经济等方面专家组成。评审小组成员人数以及技术、经济等方面专家的确定方式见比选申请人须知前附表。</w:t>
      </w:r>
    </w:p>
    <w:bookmarkEnd w:id="293"/>
    <w:bookmarkEnd w:id="294"/>
    <w:p w14:paraId="5A42515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6.1.2 评审小组成员有下列情形之一的，应当回避：</w:t>
      </w:r>
    </w:p>
    <w:p w14:paraId="430F5FD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（1）比选申请人或比选申请人的主要负责人的近亲属；</w:t>
      </w:r>
    </w:p>
    <w:p w14:paraId="2930C50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（2）项目主管部门或者行政监督部门的人员；</w:t>
      </w:r>
    </w:p>
    <w:p w14:paraId="2A127ED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（3）与比选申请人有利害关系，可能影响对比选申请文件公正评审的；</w:t>
      </w:r>
    </w:p>
    <w:p w14:paraId="13D0E87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（4）曾因在比选、评审以及其他与比选比选申请有关活动中从事违法行为而受过行政处罚或刑事处罚的。</w:t>
      </w:r>
    </w:p>
    <w:p w14:paraId="62E34F60">
      <w:pPr>
        <w:autoSpaceDE w:val="0"/>
        <w:autoSpaceDN w:val="0"/>
        <w:adjustRightInd w:val="0"/>
        <w:snapToGrid w:val="0"/>
        <w:spacing w:line="360" w:lineRule="auto"/>
        <w:ind w:firstLine="420" w:firstLineChars="200"/>
      </w:pPr>
      <w:r>
        <w:rPr>
          <w:rFonts w:hint="eastAsia" w:ascii="宋体" w:hAnsi="宋体"/>
          <w:snapToGrid w:val="0"/>
          <w:kern w:val="0"/>
          <w:szCs w:val="21"/>
        </w:rPr>
        <w:t>（5）法律法规规定的其他情形。</w:t>
      </w:r>
    </w:p>
    <w:p w14:paraId="5D87406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6.1.3 评审过程中，评审小组成员有回避事由、擅离职守或者因健康等原因不能继续评审的，应当及时更换。被更换的评审小组成员作出的评审结论无效，由更换后的评审小组成员重新进行评审。</w:t>
      </w:r>
    </w:p>
    <w:p w14:paraId="3C716972">
      <w:pPr>
        <w:pStyle w:val="4"/>
        <w:snapToGrid w:val="0"/>
        <w:spacing w:before="0" w:line="360" w:lineRule="auto"/>
        <w:rPr>
          <w:rFonts w:asciiTheme="majorEastAsia" w:hAnsiTheme="majorEastAsia" w:eastAsiaTheme="majorEastAsia" w:cstheme="majorEastAsia"/>
          <w:snapToGrid w:val="0"/>
          <w:sz w:val="21"/>
          <w:szCs w:val="21"/>
        </w:rPr>
      </w:pPr>
      <w:bookmarkStart w:id="295" w:name="_Toc25412"/>
      <w:bookmarkStart w:id="296" w:name="_Toc23544"/>
      <w:bookmarkStart w:id="297" w:name="_Toc444155948"/>
      <w:bookmarkStart w:id="298" w:name="_Toc25157"/>
      <w:bookmarkStart w:id="299" w:name="_Toc24050"/>
      <w:r>
        <w:rPr>
          <w:rFonts w:hint="eastAsia" w:asciiTheme="majorEastAsia" w:hAnsiTheme="majorEastAsia" w:eastAsiaTheme="majorEastAsia" w:cstheme="majorEastAsia"/>
          <w:snapToGrid w:val="0"/>
          <w:sz w:val="21"/>
          <w:szCs w:val="21"/>
        </w:rPr>
        <w:t>6.2 评审原则</w:t>
      </w:r>
      <w:bookmarkEnd w:id="292"/>
      <w:bookmarkEnd w:id="295"/>
      <w:bookmarkEnd w:id="296"/>
      <w:bookmarkEnd w:id="297"/>
      <w:bookmarkEnd w:id="298"/>
      <w:bookmarkEnd w:id="299"/>
    </w:p>
    <w:p w14:paraId="1C804F29">
      <w:pPr>
        <w:autoSpaceDE w:val="0"/>
        <w:autoSpaceDN w:val="0"/>
        <w:adjustRightInd w:val="0"/>
        <w:snapToGrid w:val="0"/>
        <w:spacing w:line="360" w:lineRule="auto"/>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 xml:space="preserve">    评审活动遵循公平、公正、科学和择优的原则。</w:t>
      </w:r>
    </w:p>
    <w:p w14:paraId="00E6CA1B">
      <w:pPr>
        <w:pStyle w:val="4"/>
        <w:snapToGrid w:val="0"/>
        <w:spacing w:before="0" w:line="360" w:lineRule="auto"/>
        <w:rPr>
          <w:rFonts w:asciiTheme="majorEastAsia" w:hAnsiTheme="majorEastAsia" w:eastAsiaTheme="majorEastAsia" w:cstheme="majorEastAsia"/>
          <w:snapToGrid w:val="0"/>
          <w:sz w:val="21"/>
          <w:szCs w:val="21"/>
        </w:rPr>
      </w:pPr>
      <w:bookmarkStart w:id="300" w:name="_Toc19298"/>
      <w:bookmarkStart w:id="301" w:name="_Toc444155949"/>
      <w:bookmarkStart w:id="302" w:name="_Toc26939"/>
      <w:bookmarkStart w:id="303" w:name="_Toc200513163"/>
      <w:bookmarkStart w:id="304" w:name="_Toc10567"/>
      <w:bookmarkStart w:id="305" w:name="_Toc11346"/>
      <w:r>
        <w:rPr>
          <w:rFonts w:hint="eastAsia" w:asciiTheme="majorEastAsia" w:hAnsiTheme="majorEastAsia" w:eastAsiaTheme="majorEastAsia" w:cstheme="majorEastAsia"/>
          <w:snapToGrid w:val="0"/>
          <w:sz w:val="21"/>
          <w:szCs w:val="21"/>
        </w:rPr>
        <w:t xml:space="preserve">6.3 </w:t>
      </w:r>
      <w:bookmarkEnd w:id="300"/>
      <w:bookmarkEnd w:id="301"/>
      <w:bookmarkEnd w:id="302"/>
      <w:bookmarkEnd w:id="303"/>
      <w:r>
        <w:rPr>
          <w:rFonts w:hint="eastAsia" w:asciiTheme="majorEastAsia" w:hAnsiTheme="majorEastAsia" w:eastAsiaTheme="majorEastAsia" w:cstheme="majorEastAsia"/>
          <w:snapToGrid w:val="0"/>
          <w:sz w:val="21"/>
          <w:szCs w:val="21"/>
        </w:rPr>
        <w:t>评审</w:t>
      </w:r>
      <w:bookmarkEnd w:id="304"/>
      <w:bookmarkEnd w:id="305"/>
    </w:p>
    <w:p w14:paraId="50026A66">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评审小组按照第三章“评审办法”规定的方法、评审因素、标准和程序对比选申请文件进行评审。第三章“评审办法”没有规定的方法、评审因素和标准，不作为评审依据。</w:t>
      </w:r>
    </w:p>
    <w:p w14:paraId="418C5C07">
      <w:pPr>
        <w:pStyle w:val="3"/>
        <w:rPr>
          <w:rFonts w:asciiTheme="majorEastAsia" w:hAnsiTheme="majorEastAsia" w:eastAsiaTheme="majorEastAsia" w:cstheme="majorEastAsia"/>
          <w:snapToGrid w:val="0"/>
          <w:spacing w:val="0"/>
          <w:w w:val="100"/>
          <w:sz w:val="21"/>
          <w:szCs w:val="21"/>
        </w:rPr>
      </w:pPr>
      <w:bookmarkStart w:id="306" w:name="_Toc444155950"/>
      <w:bookmarkStart w:id="307" w:name="_Toc26655"/>
      <w:bookmarkStart w:id="308" w:name="_Toc14750"/>
      <w:bookmarkStart w:id="309" w:name="_Toc20620"/>
      <w:bookmarkStart w:id="310" w:name="_Toc1965"/>
      <w:bookmarkStart w:id="311" w:name="_Toc25443"/>
      <w:bookmarkStart w:id="312" w:name="_Toc200513164"/>
      <w:r>
        <w:rPr>
          <w:rFonts w:hint="eastAsia" w:asciiTheme="majorEastAsia" w:hAnsiTheme="majorEastAsia" w:eastAsiaTheme="majorEastAsia" w:cstheme="majorEastAsia"/>
          <w:snapToGrid w:val="0"/>
          <w:spacing w:val="0"/>
          <w:w w:val="100"/>
          <w:sz w:val="21"/>
          <w:szCs w:val="21"/>
        </w:rPr>
        <w:t>7. 合同授予</w:t>
      </w:r>
      <w:bookmarkEnd w:id="306"/>
      <w:bookmarkEnd w:id="307"/>
      <w:bookmarkEnd w:id="308"/>
      <w:bookmarkEnd w:id="309"/>
      <w:bookmarkEnd w:id="310"/>
      <w:bookmarkEnd w:id="311"/>
      <w:bookmarkEnd w:id="312"/>
    </w:p>
    <w:p w14:paraId="1D864A45">
      <w:pPr>
        <w:pStyle w:val="4"/>
        <w:snapToGrid w:val="0"/>
        <w:spacing w:before="0" w:line="360" w:lineRule="auto"/>
        <w:rPr>
          <w:rFonts w:asciiTheme="majorEastAsia" w:hAnsiTheme="majorEastAsia" w:eastAsiaTheme="majorEastAsia" w:cstheme="majorEastAsia"/>
          <w:snapToGrid w:val="0"/>
          <w:sz w:val="21"/>
          <w:szCs w:val="21"/>
        </w:rPr>
      </w:pPr>
      <w:bookmarkStart w:id="313" w:name="_Toc444155951"/>
      <w:bookmarkStart w:id="314" w:name="_Toc200513165"/>
      <w:bookmarkStart w:id="315" w:name="_Toc16724"/>
      <w:bookmarkStart w:id="316" w:name="_Toc11422"/>
      <w:bookmarkStart w:id="317" w:name="_Toc26610"/>
      <w:bookmarkStart w:id="318" w:name="_Toc24419"/>
      <w:r>
        <w:rPr>
          <w:rFonts w:hint="eastAsia" w:asciiTheme="majorEastAsia" w:hAnsiTheme="majorEastAsia" w:eastAsiaTheme="majorEastAsia" w:cstheme="majorEastAsia"/>
          <w:snapToGrid w:val="0"/>
          <w:sz w:val="21"/>
          <w:szCs w:val="21"/>
        </w:rPr>
        <w:t>7.1 定选方式</w:t>
      </w:r>
      <w:bookmarkEnd w:id="313"/>
      <w:bookmarkEnd w:id="314"/>
      <w:bookmarkEnd w:id="315"/>
      <w:bookmarkEnd w:id="316"/>
      <w:bookmarkEnd w:id="317"/>
      <w:bookmarkEnd w:id="318"/>
    </w:p>
    <w:p w14:paraId="5ECF3DB4">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bookmarkStart w:id="319" w:name="_Toc200513166"/>
      <w:r>
        <w:rPr>
          <w:rFonts w:hint="eastAsia" w:asciiTheme="majorEastAsia" w:hAnsiTheme="majorEastAsia" w:eastAsiaTheme="majorEastAsia" w:cstheme="majorEastAsia"/>
          <w:snapToGrid w:val="0"/>
          <w:kern w:val="0"/>
          <w:szCs w:val="21"/>
        </w:rPr>
        <w:t>比选人应当确定排名第一的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为中选人。排名第一的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放弃中选、因不可抗力不能履行合同、不按照竞争性比选文件要求提交履约保证金，或者被查实存在影响</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结果的违法行为等情形，不符合中选条件的，比选人可以按照评审小组提出的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名单排序依次确定其他</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为中选人，也可以重新</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w:t>
      </w:r>
    </w:p>
    <w:p w14:paraId="10B5F66F">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评审小组推荐</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的人数见比选申请人须知前附表。</w:t>
      </w:r>
    </w:p>
    <w:p w14:paraId="39CAFA22">
      <w:pPr>
        <w:pStyle w:val="4"/>
        <w:snapToGrid w:val="0"/>
        <w:spacing w:before="0" w:line="360" w:lineRule="auto"/>
        <w:rPr>
          <w:rFonts w:asciiTheme="majorEastAsia" w:hAnsiTheme="majorEastAsia" w:eastAsiaTheme="majorEastAsia" w:cstheme="majorEastAsia"/>
          <w:snapToGrid w:val="0"/>
          <w:sz w:val="21"/>
          <w:szCs w:val="21"/>
        </w:rPr>
      </w:pPr>
      <w:bookmarkStart w:id="320" w:name="_Toc444155952"/>
      <w:bookmarkStart w:id="321" w:name="_Toc27538"/>
      <w:bookmarkStart w:id="322" w:name="_Toc9040"/>
      <w:bookmarkStart w:id="323" w:name="_Toc20635"/>
      <w:bookmarkStart w:id="324" w:name="_Toc10580"/>
      <w:r>
        <w:rPr>
          <w:rFonts w:hint="eastAsia" w:asciiTheme="majorEastAsia" w:hAnsiTheme="majorEastAsia" w:eastAsiaTheme="majorEastAsia" w:cstheme="majorEastAsia"/>
          <w:snapToGrid w:val="0"/>
          <w:sz w:val="21"/>
          <w:szCs w:val="21"/>
        </w:rPr>
        <w:t>7.2 中选通知</w:t>
      </w:r>
      <w:bookmarkEnd w:id="319"/>
      <w:bookmarkEnd w:id="320"/>
      <w:bookmarkEnd w:id="321"/>
      <w:bookmarkEnd w:id="322"/>
      <w:bookmarkEnd w:id="323"/>
      <w:bookmarkEnd w:id="324"/>
    </w:p>
    <w:p w14:paraId="25CCE6F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在本章第3.3款规定的比选申请文件有效期内，且未有比选申请人的异议与投诉，比选人以书面形式向中选人发出中选通知书，并将结果通知其他比选申请人。</w:t>
      </w:r>
    </w:p>
    <w:p w14:paraId="3AD54817">
      <w:pPr>
        <w:pStyle w:val="4"/>
        <w:snapToGrid w:val="0"/>
        <w:spacing w:before="0" w:line="360" w:lineRule="auto"/>
        <w:rPr>
          <w:rFonts w:asciiTheme="majorEastAsia" w:hAnsiTheme="majorEastAsia" w:eastAsiaTheme="majorEastAsia" w:cstheme="majorEastAsia"/>
          <w:snapToGrid w:val="0"/>
          <w:sz w:val="21"/>
          <w:szCs w:val="21"/>
        </w:rPr>
      </w:pPr>
      <w:bookmarkStart w:id="325" w:name="_Toc235966566"/>
      <w:bookmarkStart w:id="326" w:name="_Toc444155953"/>
      <w:bookmarkStart w:id="327" w:name="_Toc2511"/>
      <w:bookmarkStart w:id="328" w:name="_Toc16084"/>
      <w:bookmarkStart w:id="329" w:name="_Toc18079"/>
      <w:bookmarkStart w:id="330" w:name="_Toc32475"/>
      <w:bookmarkStart w:id="331" w:name="_Toc200513168"/>
      <w:r>
        <w:rPr>
          <w:rFonts w:hint="eastAsia" w:asciiTheme="majorEastAsia" w:hAnsiTheme="majorEastAsia" w:eastAsiaTheme="majorEastAsia" w:cstheme="majorEastAsia"/>
          <w:snapToGrid w:val="0"/>
          <w:sz w:val="21"/>
          <w:szCs w:val="21"/>
        </w:rPr>
        <w:t xml:space="preserve">7.3 </w:t>
      </w:r>
      <w:bookmarkEnd w:id="325"/>
      <w:r>
        <w:rPr>
          <w:rFonts w:hint="eastAsia" w:asciiTheme="majorEastAsia" w:hAnsiTheme="majorEastAsia" w:eastAsiaTheme="majorEastAsia" w:cstheme="majorEastAsia"/>
          <w:snapToGrid w:val="0"/>
          <w:sz w:val="21"/>
          <w:szCs w:val="21"/>
        </w:rPr>
        <w:t>履约担保</w:t>
      </w:r>
      <w:bookmarkEnd w:id="326"/>
      <w:bookmarkEnd w:id="327"/>
      <w:bookmarkEnd w:id="328"/>
      <w:bookmarkEnd w:id="329"/>
      <w:bookmarkEnd w:id="330"/>
    </w:p>
    <w:p w14:paraId="155B2C94">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7.3.1 在签订合同前，中选人应按比选申请人须知前附表规定的金额、担保形式和竞争性比选文件第四章“合同条款及格式”规定的履约担保格式向比选人提交履约担保。并应符合比选申请人须知前附表规定的金额、担保形式和竞争性比选文件第四章“合同条款及格式”规定的履约担保格式要求。</w:t>
      </w:r>
    </w:p>
    <w:p w14:paraId="63F114E0">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7.3.2 中选人不能按本章第7.3.1项要求提交履约担保的，视为放弃中选，其比选申请保证金不予退还，给比选人造成的损失超过比选申请保证金数额的，中选人还应当对超过部分予以赔偿。</w:t>
      </w:r>
    </w:p>
    <w:p w14:paraId="046BCF03">
      <w:pPr>
        <w:pStyle w:val="4"/>
        <w:snapToGrid w:val="0"/>
        <w:spacing w:before="0" w:line="360" w:lineRule="auto"/>
        <w:rPr>
          <w:rFonts w:asciiTheme="majorEastAsia" w:hAnsiTheme="majorEastAsia" w:eastAsiaTheme="majorEastAsia" w:cstheme="majorEastAsia"/>
          <w:snapToGrid w:val="0"/>
          <w:sz w:val="21"/>
          <w:szCs w:val="21"/>
        </w:rPr>
      </w:pPr>
      <w:bookmarkStart w:id="332" w:name="_Toc444155954"/>
      <w:bookmarkStart w:id="333" w:name="_Toc17711"/>
      <w:bookmarkStart w:id="334" w:name="_Toc24570"/>
      <w:bookmarkStart w:id="335" w:name="_Toc13455"/>
      <w:bookmarkStart w:id="336" w:name="_Toc29643"/>
      <w:r>
        <w:rPr>
          <w:rFonts w:hint="eastAsia" w:asciiTheme="majorEastAsia" w:hAnsiTheme="majorEastAsia" w:eastAsiaTheme="majorEastAsia" w:cstheme="majorEastAsia"/>
          <w:snapToGrid w:val="0"/>
          <w:sz w:val="21"/>
          <w:szCs w:val="21"/>
        </w:rPr>
        <w:t>7.4 签订合同</w:t>
      </w:r>
      <w:bookmarkEnd w:id="331"/>
      <w:bookmarkEnd w:id="332"/>
      <w:bookmarkEnd w:id="333"/>
      <w:bookmarkEnd w:id="334"/>
      <w:bookmarkEnd w:id="335"/>
      <w:bookmarkEnd w:id="336"/>
    </w:p>
    <w:p w14:paraId="147A41B2">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7.4.1 比选人和中选人应当自中选通知书发出之日起30天内，根据竞争性比选文件和中选人的比选申请文件订立书面合同。中选人无正当理由拒签合同的，比选人取消其中选资格，其比选申请保证金不予退还；给比选人造成的损失超过比选申请保证金数额的，中选人还应当对超过部分予以赔偿。</w:t>
      </w:r>
    </w:p>
    <w:p w14:paraId="7AFD7406">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7.4.2 发出中选通知书后，比选人无正当理由拒签合同的，比选人向中选人退还比选申请保证金；给中选人造成损失的，还应当赔偿损失。</w:t>
      </w:r>
    </w:p>
    <w:p w14:paraId="1C037762">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337" w:name="_Toc5261"/>
      <w:bookmarkStart w:id="338" w:name="_Toc200513169"/>
      <w:bookmarkStart w:id="339" w:name="_Toc8469"/>
      <w:bookmarkStart w:id="340" w:name="_Toc30051"/>
      <w:bookmarkStart w:id="341" w:name="_Toc2419"/>
      <w:bookmarkStart w:id="342" w:name="_Toc444155955"/>
      <w:bookmarkStart w:id="343" w:name="_Toc1355"/>
      <w:r>
        <w:rPr>
          <w:rFonts w:hint="eastAsia" w:asciiTheme="majorEastAsia" w:hAnsiTheme="majorEastAsia" w:eastAsiaTheme="majorEastAsia" w:cstheme="majorEastAsia"/>
          <w:bCs/>
          <w:spacing w:val="0"/>
          <w:w w:val="100"/>
          <w:kern w:val="0"/>
          <w:sz w:val="21"/>
          <w:szCs w:val="21"/>
        </w:rPr>
        <w:t xml:space="preserve">8. </w:t>
      </w:r>
      <w:bookmarkEnd w:id="337"/>
      <w:bookmarkEnd w:id="338"/>
      <w:bookmarkEnd w:id="339"/>
      <w:bookmarkEnd w:id="340"/>
      <w:bookmarkEnd w:id="341"/>
      <w:bookmarkEnd w:id="342"/>
      <w:r>
        <w:rPr>
          <w:rFonts w:hint="eastAsia" w:asciiTheme="majorEastAsia" w:hAnsiTheme="majorEastAsia" w:eastAsiaTheme="majorEastAsia" w:cstheme="majorEastAsia"/>
          <w:bCs/>
          <w:spacing w:val="0"/>
          <w:w w:val="100"/>
          <w:kern w:val="0"/>
          <w:sz w:val="21"/>
          <w:szCs w:val="21"/>
        </w:rPr>
        <w:t>其他</w:t>
      </w:r>
      <w:bookmarkEnd w:id="343"/>
    </w:p>
    <w:p w14:paraId="7ACC03B7">
      <w:pPr>
        <w:pStyle w:val="4"/>
        <w:snapToGrid w:val="0"/>
        <w:spacing w:before="0" w:line="360" w:lineRule="auto"/>
        <w:rPr>
          <w:rFonts w:asciiTheme="majorEastAsia" w:hAnsiTheme="majorEastAsia" w:eastAsiaTheme="majorEastAsia" w:cstheme="majorEastAsia"/>
          <w:snapToGrid w:val="0"/>
          <w:sz w:val="21"/>
          <w:szCs w:val="21"/>
        </w:rPr>
      </w:pPr>
      <w:bookmarkStart w:id="344" w:name="_Toc200513170"/>
      <w:bookmarkStart w:id="345" w:name="_Toc16885"/>
      <w:bookmarkStart w:id="346" w:name="_Toc444155956"/>
      <w:bookmarkStart w:id="347" w:name="_Toc4988"/>
      <w:bookmarkStart w:id="348" w:name="_Toc4282"/>
      <w:bookmarkStart w:id="349" w:name="_Toc28925"/>
      <w:r>
        <w:rPr>
          <w:rFonts w:hint="eastAsia" w:asciiTheme="majorEastAsia" w:hAnsiTheme="majorEastAsia" w:eastAsiaTheme="majorEastAsia" w:cstheme="majorEastAsia"/>
          <w:snapToGrid w:val="0"/>
          <w:sz w:val="21"/>
          <w:szCs w:val="21"/>
        </w:rPr>
        <w:t xml:space="preserve">8.1 </w:t>
      </w:r>
      <w:bookmarkEnd w:id="344"/>
      <w:bookmarkEnd w:id="345"/>
      <w:bookmarkEnd w:id="346"/>
      <w:bookmarkEnd w:id="347"/>
      <w:bookmarkEnd w:id="348"/>
      <w:bookmarkEnd w:id="349"/>
      <w:r>
        <w:rPr>
          <w:rFonts w:hint="eastAsia" w:asciiTheme="majorEastAsia" w:hAnsiTheme="majorEastAsia" w:eastAsiaTheme="majorEastAsia" w:cstheme="majorEastAsia"/>
          <w:snapToGrid w:val="0"/>
          <w:sz w:val="21"/>
          <w:szCs w:val="21"/>
        </w:rPr>
        <w:t>其他</w:t>
      </w:r>
    </w:p>
    <w:p w14:paraId="0916AE9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bookmarkStart w:id="350" w:name="_Toc28991"/>
      <w:r>
        <w:rPr>
          <w:rFonts w:hint="eastAsia" w:asciiTheme="majorEastAsia" w:hAnsiTheme="majorEastAsia" w:eastAsiaTheme="majorEastAsia" w:cstheme="majorEastAsia"/>
          <w:snapToGrid w:val="0"/>
          <w:kern w:val="0"/>
          <w:szCs w:val="21"/>
        </w:rPr>
        <w:t>按须知前附表规定执行。</w:t>
      </w:r>
      <w:bookmarkEnd w:id="350"/>
      <w:bookmarkStart w:id="351" w:name="_Toc24265"/>
      <w:bookmarkStart w:id="352" w:name="_Toc444155957"/>
      <w:bookmarkStart w:id="353" w:name="_Toc200513171"/>
      <w:bookmarkStart w:id="354" w:name="_Toc32764"/>
    </w:p>
    <w:bookmarkEnd w:id="351"/>
    <w:bookmarkEnd w:id="352"/>
    <w:bookmarkEnd w:id="353"/>
    <w:bookmarkEnd w:id="354"/>
    <w:p w14:paraId="30392D2B">
      <w:pPr>
        <w:pStyle w:val="3"/>
        <w:rPr>
          <w:rFonts w:asciiTheme="majorEastAsia" w:hAnsiTheme="majorEastAsia" w:eastAsiaTheme="majorEastAsia" w:cstheme="majorEastAsia"/>
          <w:snapToGrid w:val="0"/>
          <w:spacing w:val="0"/>
          <w:w w:val="100"/>
          <w:sz w:val="21"/>
          <w:szCs w:val="21"/>
        </w:rPr>
      </w:pPr>
      <w:bookmarkStart w:id="355" w:name="_Toc200513172"/>
      <w:bookmarkStart w:id="356" w:name="_Toc6731"/>
      <w:bookmarkStart w:id="357" w:name="_Toc12698"/>
      <w:bookmarkStart w:id="358" w:name="_Toc444155958"/>
      <w:bookmarkStart w:id="359" w:name="_Toc7282"/>
      <w:bookmarkStart w:id="360" w:name="_Toc10320"/>
      <w:bookmarkStart w:id="361" w:name="_Toc12766"/>
      <w:r>
        <w:rPr>
          <w:rFonts w:hint="eastAsia" w:asciiTheme="majorEastAsia" w:hAnsiTheme="majorEastAsia" w:eastAsiaTheme="majorEastAsia" w:cstheme="majorEastAsia"/>
          <w:snapToGrid w:val="0"/>
          <w:spacing w:val="0"/>
          <w:w w:val="100"/>
          <w:sz w:val="21"/>
          <w:szCs w:val="21"/>
        </w:rPr>
        <w:t>9. 纪律和监督</w:t>
      </w:r>
      <w:bookmarkEnd w:id="355"/>
      <w:bookmarkEnd w:id="356"/>
      <w:bookmarkEnd w:id="357"/>
      <w:bookmarkEnd w:id="358"/>
      <w:bookmarkEnd w:id="359"/>
      <w:bookmarkEnd w:id="360"/>
      <w:bookmarkEnd w:id="361"/>
    </w:p>
    <w:p w14:paraId="4CD3CA05">
      <w:pPr>
        <w:pStyle w:val="4"/>
        <w:snapToGrid w:val="0"/>
        <w:spacing w:before="0" w:line="360" w:lineRule="auto"/>
        <w:rPr>
          <w:rFonts w:asciiTheme="majorEastAsia" w:hAnsiTheme="majorEastAsia" w:eastAsiaTheme="majorEastAsia" w:cstheme="majorEastAsia"/>
          <w:snapToGrid w:val="0"/>
          <w:sz w:val="21"/>
          <w:szCs w:val="21"/>
        </w:rPr>
      </w:pPr>
      <w:bookmarkStart w:id="362" w:name="_Toc13293"/>
      <w:bookmarkStart w:id="363" w:name="_Toc200513173"/>
      <w:bookmarkStart w:id="364" w:name="_Toc20325"/>
      <w:bookmarkStart w:id="365" w:name="_Toc10975"/>
      <w:bookmarkStart w:id="366" w:name="_Toc1584"/>
      <w:bookmarkStart w:id="367" w:name="_Toc444155959"/>
      <w:r>
        <w:rPr>
          <w:rFonts w:hint="eastAsia" w:asciiTheme="majorEastAsia" w:hAnsiTheme="majorEastAsia" w:eastAsiaTheme="majorEastAsia" w:cstheme="majorEastAsia"/>
          <w:snapToGrid w:val="0"/>
          <w:sz w:val="21"/>
          <w:szCs w:val="21"/>
        </w:rPr>
        <w:t>9.1 对比选人的纪律要求</w:t>
      </w:r>
      <w:bookmarkEnd w:id="362"/>
      <w:bookmarkEnd w:id="363"/>
      <w:bookmarkEnd w:id="364"/>
      <w:bookmarkEnd w:id="365"/>
      <w:bookmarkEnd w:id="366"/>
      <w:bookmarkEnd w:id="367"/>
    </w:p>
    <w:p w14:paraId="2E905CBF">
      <w:pPr>
        <w:autoSpaceDE w:val="0"/>
        <w:autoSpaceDN w:val="0"/>
        <w:adjustRightInd w:val="0"/>
        <w:snapToGrid w:val="0"/>
        <w:spacing w:line="360" w:lineRule="auto"/>
        <w:ind w:firstLine="420"/>
        <w:rPr>
          <w:rFonts w:ascii="宋体" w:hAnsi="宋体"/>
        </w:rPr>
      </w:pPr>
      <w:bookmarkStart w:id="368" w:name="_Toc31876"/>
      <w:bookmarkStart w:id="369" w:name="_Toc6290"/>
      <w:bookmarkStart w:id="370" w:name="_Toc200513174"/>
      <w:bookmarkStart w:id="371" w:name="_Toc1290"/>
      <w:bookmarkStart w:id="372" w:name="_Toc22066"/>
      <w:bookmarkStart w:id="373" w:name="_Toc444155960"/>
      <w:r>
        <w:rPr>
          <w:rFonts w:hint="eastAsia" w:ascii="宋体" w:hAnsi="宋体"/>
          <w:snapToGrid w:val="0"/>
          <w:kern w:val="0"/>
          <w:szCs w:val="21"/>
        </w:rPr>
        <w:t>比选人</w:t>
      </w:r>
      <w:r>
        <w:rPr>
          <w:rFonts w:ascii="宋体" w:hAnsi="宋体"/>
          <w:snapToGrid w:val="0"/>
          <w:kern w:val="0"/>
          <w:szCs w:val="21"/>
        </w:rPr>
        <w:t>不得泄漏比选比选申请活动中应当保密的情况和资料，不得与</w:t>
      </w:r>
      <w:r>
        <w:rPr>
          <w:rFonts w:hint="eastAsia" w:ascii="宋体" w:hAnsi="宋体"/>
          <w:snapToGrid w:val="0"/>
          <w:kern w:val="0"/>
          <w:szCs w:val="21"/>
        </w:rPr>
        <w:t>比选申请人</w:t>
      </w:r>
      <w:r>
        <w:rPr>
          <w:rFonts w:ascii="宋体" w:hAnsi="宋体"/>
          <w:snapToGrid w:val="0"/>
          <w:kern w:val="0"/>
          <w:szCs w:val="21"/>
        </w:rPr>
        <w:t>串通损害国家利益、社会公共利益或者他人合法权益，</w:t>
      </w:r>
      <w:r>
        <w:rPr>
          <w:rFonts w:ascii="宋体" w:hAnsi="宋体"/>
        </w:rPr>
        <w:t>禁止</w:t>
      </w:r>
      <w:r>
        <w:rPr>
          <w:rFonts w:hint="eastAsia" w:ascii="宋体" w:hAnsi="宋体"/>
        </w:rPr>
        <w:t>比选人</w:t>
      </w:r>
      <w:r>
        <w:rPr>
          <w:rFonts w:ascii="宋体" w:hAnsi="宋体"/>
        </w:rPr>
        <w:t>与</w:t>
      </w:r>
      <w:r>
        <w:rPr>
          <w:rFonts w:hint="eastAsia" w:ascii="宋体" w:hAnsi="宋体"/>
        </w:rPr>
        <w:t>比选申请人</w:t>
      </w:r>
      <w:r>
        <w:rPr>
          <w:rFonts w:ascii="宋体" w:hAnsi="宋体"/>
        </w:rPr>
        <w:t>串通比选申请。</w:t>
      </w:r>
    </w:p>
    <w:p w14:paraId="0488C587">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rPr>
        <w:t>比选人</w:t>
      </w:r>
      <w:r>
        <w:rPr>
          <w:rFonts w:ascii="宋体" w:hAnsi="宋体"/>
        </w:rPr>
        <w:t>与</w:t>
      </w:r>
      <w:r>
        <w:rPr>
          <w:rFonts w:hint="eastAsia" w:ascii="宋体" w:hAnsi="宋体"/>
        </w:rPr>
        <w:t>比选申请人</w:t>
      </w:r>
      <w:r>
        <w:rPr>
          <w:rFonts w:ascii="宋体" w:hAnsi="宋体"/>
        </w:rPr>
        <w:t>串通比选申请：</w:t>
      </w:r>
    </w:p>
    <w:p w14:paraId="5048411E">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rPr>
        <w:t>比选人</w:t>
      </w:r>
      <w:r>
        <w:rPr>
          <w:rFonts w:ascii="宋体" w:hAnsi="宋体"/>
        </w:rPr>
        <w:t>在开标前开启</w:t>
      </w:r>
      <w:r>
        <w:rPr>
          <w:rFonts w:hint="eastAsia" w:ascii="宋体" w:hAnsi="宋体"/>
        </w:rPr>
        <w:t>比选申请文件</w:t>
      </w:r>
      <w:r>
        <w:rPr>
          <w:rFonts w:ascii="宋体" w:hAnsi="宋体"/>
        </w:rPr>
        <w:t>并将有关信息泄露给其他</w:t>
      </w:r>
      <w:r>
        <w:rPr>
          <w:rFonts w:hint="eastAsia" w:ascii="宋体" w:hAnsi="宋体"/>
        </w:rPr>
        <w:t>比选申请人；</w:t>
      </w:r>
    </w:p>
    <w:p w14:paraId="50CD13CF">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rPr>
        <w:t>比选人</w:t>
      </w:r>
      <w:r>
        <w:rPr>
          <w:rFonts w:ascii="宋体" w:hAnsi="宋体"/>
        </w:rPr>
        <w:t>直接或者间接向</w:t>
      </w:r>
      <w:r>
        <w:rPr>
          <w:rFonts w:hint="eastAsia" w:ascii="宋体" w:hAnsi="宋体"/>
        </w:rPr>
        <w:t>比选申请人</w:t>
      </w:r>
      <w:r>
        <w:rPr>
          <w:rFonts w:ascii="宋体" w:hAnsi="宋体"/>
        </w:rPr>
        <w:t>泄露标底、</w:t>
      </w:r>
      <w:r>
        <w:rPr>
          <w:rFonts w:hint="eastAsia" w:ascii="宋体" w:hAnsi="宋体"/>
        </w:rPr>
        <w:t>评审小组</w:t>
      </w:r>
      <w:r>
        <w:rPr>
          <w:rFonts w:ascii="宋体" w:hAnsi="宋体"/>
        </w:rPr>
        <w:t>成员等信息；</w:t>
      </w:r>
    </w:p>
    <w:p w14:paraId="017AE007">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rPr>
        <w:t>比选人</w:t>
      </w:r>
      <w:r>
        <w:rPr>
          <w:rFonts w:ascii="宋体" w:hAnsi="宋体"/>
        </w:rPr>
        <w:t>明示或者暗示</w:t>
      </w:r>
      <w:r>
        <w:rPr>
          <w:rFonts w:hint="eastAsia" w:ascii="宋体" w:hAnsi="宋体"/>
        </w:rPr>
        <w:t>比选申请人</w:t>
      </w:r>
      <w:r>
        <w:rPr>
          <w:rFonts w:ascii="宋体" w:hAnsi="宋体"/>
        </w:rPr>
        <w:t>压低或者抬高</w:t>
      </w:r>
      <w:r>
        <w:rPr>
          <w:rFonts w:hint="eastAsia" w:ascii="宋体" w:hAnsi="宋体"/>
        </w:rPr>
        <w:t>比选申请报价</w:t>
      </w:r>
      <w:r>
        <w:rPr>
          <w:rFonts w:ascii="宋体" w:hAnsi="宋体"/>
        </w:rPr>
        <w:t>；</w:t>
      </w:r>
    </w:p>
    <w:p w14:paraId="08A30537">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rPr>
        <w:t>比选人</w:t>
      </w:r>
      <w:r>
        <w:rPr>
          <w:rFonts w:ascii="宋体" w:hAnsi="宋体"/>
        </w:rPr>
        <w:t>授意</w:t>
      </w:r>
      <w:r>
        <w:rPr>
          <w:rFonts w:hint="eastAsia" w:ascii="宋体" w:hAnsi="宋体"/>
        </w:rPr>
        <w:t>比选申请人</w:t>
      </w:r>
      <w:r>
        <w:rPr>
          <w:rFonts w:ascii="宋体" w:hAnsi="宋体"/>
        </w:rPr>
        <w:t>撤换、修改</w:t>
      </w:r>
      <w:r>
        <w:rPr>
          <w:rFonts w:hint="eastAsia" w:ascii="宋体" w:hAnsi="宋体"/>
        </w:rPr>
        <w:t>比选申请文件</w:t>
      </w:r>
      <w:r>
        <w:rPr>
          <w:rFonts w:ascii="宋体" w:hAnsi="宋体"/>
        </w:rPr>
        <w:t>；</w:t>
      </w:r>
    </w:p>
    <w:p w14:paraId="311C95F4">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rPr>
        <w:t>比选人</w:t>
      </w:r>
      <w:r>
        <w:rPr>
          <w:rFonts w:ascii="宋体" w:hAnsi="宋体"/>
        </w:rPr>
        <w:t>明示或者暗示</w:t>
      </w:r>
      <w:r>
        <w:rPr>
          <w:rFonts w:hint="eastAsia" w:ascii="宋体" w:hAnsi="宋体"/>
        </w:rPr>
        <w:t>比选申请人</w:t>
      </w:r>
      <w:r>
        <w:rPr>
          <w:rFonts w:ascii="宋体" w:hAnsi="宋体"/>
        </w:rPr>
        <w:t>为特定</w:t>
      </w:r>
      <w:r>
        <w:rPr>
          <w:rFonts w:hint="eastAsia" w:ascii="宋体" w:hAnsi="宋体"/>
        </w:rPr>
        <w:t>比选申请人</w:t>
      </w:r>
      <w:r>
        <w:rPr>
          <w:rFonts w:ascii="宋体" w:hAnsi="宋体"/>
        </w:rPr>
        <w:t>中选提供方便；</w:t>
      </w:r>
    </w:p>
    <w:p w14:paraId="7B624BF8">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rPr>
        <w:t>比选人</w:t>
      </w:r>
      <w:r>
        <w:rPr>
          <w:rFonts w:ascii="宋体" w:hAnsi="宋体"/>
        </w:rPr>
        <w:t>与</w:t>
      </w:r>
      <w:r>
        <w:rPr>
          <w:rFonts w:hint="eastAsia" w:ascii="宋体" w:hAnsi="宋体"/>
        </w:rPr>
        <w:t>比选申请人</w:t>
      </w:r>
      <w:r>
        <w:rPr>
          <w:rFonts w:ascii="宋体" w:hAnsi="宋体"/>
        </w:rPr>
        <w:t>为谋求特定</w:t>
      </w:r>
      <w:r>
        <w:rPr>
          <w:rFonts w:hint="eastAsia" w:ascii="宋体" w:hAnsi="宋体"/>
        </w:rPr>
        <w:t>比选申请人</w:t>
      </w:r>
      <w:r>
        <w:rPr>
          <w:rFonts w:ascii="宋体" w:hAnsi="宋体"/>
        </w:rPr>
        <w:t>中选而采取的其他串通行为。</w:t>
      </w:r>
    </w:p>
    <w:p w14:paraId="3C910A30">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9.2 对比选申请人的纪律要求</w:t>
      </w:r>
      <w:bookmarkEnd w:id="368"/>
      <w:bookmarkEnd w:id="369"/>
      <w:bookmarkEnd w:id="370"/>
      <w:bookmarkEnd w:id="371"/>
      <w:bookmarkEnd w:id="372"/>
      <w:bookmarkEnd w:id="373"/>
    </w:p>
    <w:p w14:paraId="47D6CC01">
      <w:pPr>
        <w:adjustRightInd w:val="0"/>
        <w:snapToGrid w:val="0"/>
        <w:spacing w:line="360" w:lineRule="auto"/>
        <w:ind w:firstLine="420" w:firstLineChars="200"/>
        <w:rPr>
          <w:rFonts w:asciiTheme="majorEastAsia" w:hAnsiTheme="majorEastAsia" w:eastAsiaTheme="majorEastAsia" w:cstheme="majorEastAsia"/>
        </w:rPr>
      </w:pPr>
      <w:bookmarkStart w:id="374" w:name="_Toc200513175"/>
      <w:r>
        <w:rPr>
          <w:rFonts w:hint="eastAsia" w:asciiTheme="majorEastAsia" w:hAnsiTheme="majorEastAsia" w:eastAsiaTheme="majorEastAsia" w:cstheme="majorEastAsia"/>
        </w:rPr>
        <w:t>比选申请人不得相互串通比选申请或者与比选人串通比选申请，不得向比选人或者评审小组成员行贿谋取中选，不得以他人名义比选申请或者以其他方式弄虚作假骗取中选；比选申请人不得以任何方式干扰、影响评审工作。</w:t>
      </w:r>
    </w:p>
    <w:p w14:paraId="4D33E62E">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w:t>
      </w:r>
      <w:r>
        <w:rPr>
          <w:rFonts w:hint="eastAsia" w:ascii="宋体" w:hAnsi="宋体"/>
        </w:rPr>
        <w:t>比选申请人</w:t>
      </w:r>
      <w:r>
        <w:rPr>
          <w:rFonts w:ascii="宋体" w:hAnsi="宋体"/>
        </w:rPr>
        <w:t>相互串通比选申请：</w:t>
      </w:r>
    </w:p>
    <w:p w14:paraId="7E737011">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比选申请人</w:t>
      </w:r>
      <w:r>
        <w:rPr>
          <w:rFonts w:ascii="宋体" w:hAnsi="宋体"/>
        </w:rPr>
        <w:t>之间协商</w:t>
      </w:r>
      <w:r>
        <w:rPr>
          <w:rFonts w:hint="eastAsia" w:ascii="宋体" w:hAnsi="宋体"/>
        </w:rPr>
        <w:t>比选申请报价</w:t>
      </w:r>
      <w:r>
        <w:rPr>
          <w:rFonts w:ascii="宋体" w:hAnsi="宋体"/>
        </w:rPr>
        <w:t>等</w:t>
      </w:r>
      <w:r>
        <w:rPr>
          <w:rFonts w:hint="eastAsia" w:ascii="宋体" w:hAnsi="宋体"/>
        </w:rPr>
        <w:t>比选申请文件</w:t>
      </w:r>
      <w:r>
        <w:rPr>
          <w:rFonts w:ascii="宋体" w:hAnsi="宋体"/>
        </w:rPr>
        <w:t>的实质性内容；</w:t>
      </w:r>
    </w:p>
    <w:p w14:paraId="38CA13DA">
      <w:pPr>
        <w:autoSpaceDE w:val="0"/>
        <w:autoSpaceDN w:val="0"/>
        <w:adjustRightInd w:val="0"/>
        <w:snapToGrid w:val="0"/>
        <w:spacing w:line="360" w:lineRule="auto"/>
        <w:ind w:firstLine="420" w:firstLineChars="200"/>
        <w:rPr>
          <w:rFonts w:ascii="宋体" w:hAnsi="宋体"/>
        </w:rPr>
      </w:pPr>
      <w:r>
        <w:rPr>
          <w:rFonts w:ascii="宋体" w:hAnsi="宋体"/>
        </w:rPr>
        <w:t>（2）</w:t>
      </w:r>
      <w:r>
        <w:rPr>
          <w:rFonts w:hint="eastAsia" w:ascii="宋体" w:hAnsi="宋体"/>
        </w:rPr>
        <w:t>比选申请人</w:t>
      </w:r>
      <w:r>
        <w:rPr>
          <w:rFonts w:ascii="宋体" w:hAnsi="宋体"/>
        </w:rPr>
        <w:t>之间约定</w:t>
      </w:r>
      <w:r>
        <w:rPr>
          <w:rFonts w:hint="eastAsia" w:ascii="宋体" w:hAnsi="宋体"/>
        </w:rPr>
        <w:t>中选人</w:t>
      </w:r>
      <w:r>
        <w:rPr>
          <w:rFonts w:ascii="宋体" w:hAnsi="宋体"/>
        </w:rPr>
        <w:t>；</w:t>
      </w:r>
    </w:p>
    <w:p w14:paraId="09B4D5E4">
      <w:pPr>
        <w:autoSpaceDE w:val="0"/>
        <w:autoSpaceDN w:val="0"/>
        <w:adjustRightInd w:val="0"/>
        <w:snapToGrid w:val="0"/>
        <w:spacing w:line="360" w:lineRule="auto"/>
        <w:ind w:firstLine="420" w:firstLineChars="200"/>
        <w:rPr>
          <w:rFonts w:ascii="宋体" w:hAnsi="宋体"/>
        </w:rPr>
      </w:pPr>
      <w:r>
        <w:rPr>
          <w:rFonts w:ascii="宋体" w:hAnsi="宋体"/>
        </w:rPr>
        <w:t>（3）</w:t>
      </w:r>
      <w:r>
        <w:rPr>
          <w:rFonts w:hint="eastAsia" w:ascii="宋体" w:hAnsi="宋体"/>
        </w:rPr>
        <w:t>比选申请人</w:t>
      </w:r>
      <w:r>
        <w:rPr>
          <w:rFonts w:ascii="宋体" w:hAnsi="宋体"/>
        </w:rPr>
        <w:t>之间约定部分</w:t>
      </w:r>
      <w:r>
        <w:rPr>
          <w:rFonts w:hint="eastAsia" w:ascii="宋体" w:hAnsi="宋体"/>
        </w:rPr>
        <w:t>比选申请人</w:t>
      </w:r>
      <w:r>
        <w:rPr>
          <w:rFonts w:ascii="宋体" w:hAnsi="宋体"/>
        </w:rPr>
        <w:t>放弃比选申请或者中选；</w:t>
      </w:r>
    </w:p>
    <w:p w14:paraId="5F1C3C29">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w:t>
      </w:r>
      <w:r>
        <w:rPr>
          <w:rFonts w:hint="eastAsia" w:ascii="宋体" w:hAnsi="宋体"/>
        </w:rPr>
        <w:t>比选申请人</w:t>
      </w:r>
      <w:r>
        <w:rPr>
          <w:rFonts w:ascii="宋体" w:hAnsi="宋体"/>
        </w:rPr>
        <w:t>按照该组织要求协同比选申请；</w:t>
      </w:r>
    </w:p>
    <w:p w14:paraId="10397C1B">
      <w:pPr>
        <w:autoSpaceDE w:val="0"/>
        <w:autoSpaceDN w:val="0"/>
        <w:adjustRightInd w:val="0"/>
        <w:snapToGrid w:val="0"/>
        <w:spacing w:line="360" w:lineRule="auto"/>
        <w:ind w:firstLine="420" w:firstLineChars="200"/>
        <w:rPr>
          <w:rFonts w:ascii="宋体" w:hAnsi="宋体"/>
        </w:rPr>
      </w:pPr>
      <w:r>
        <w:rPr>
          <w:rFonts w:ascii="宋体" w:hAnsi="宋体"/>
        </w:rPr>
        <w:t>（5）</w:t>
      </w:r>
      <w:r>
        <w:rPr>
          <w:rFonts w:hint="eastAsia" w:ascii="宋体" w:hAnsi="宋体"/>
        </w:rPr>
        <w:t>比选申请人</w:t>
      </w:r>
      <w:r>
        <w:rPr>
          <w:rFonts w:ascii="宋体" w:hAnsi="宋体"/>
        </w:rPr>
        <w:t>之间为谋取中选或者排斥特定</w:t>
      </w:r>
      <w:r>
        <w:rPr>
          <w:rFonts w:hint="eastAsia" w:ascii="宋体" w:hAnsi="宋体"/>
        </w:rPr>
        <w:t>比选申请人</w:t>
      </w:r>
      <w:r>
        <w:rPr>
          <w:rFonts w:ascii="宋体" w:hAnsi="宋体"/>
        </w:rPr>
        <w:t>而采取的其他联合行动。</w:t>
      </w:r>
    </w:p>
    <w:p w14:paraId="04FD3255">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w:t>
      </w:r>
      <w:r>
        <w:rPr>
          <w:rFonts w:hint="eastAsia" w:ascii="宋体" w:hAnsi="宋体"/>
        </w:rPr>
        <w:t>比选申请人</w:t>
      </w:r>
      <w:r>
        <w:rPr>
          <w:rFonts w:ascii="宋体" w:hAnsi="宋体"/>
        </w:rPr>
        <w:t>相互串通比选申请：</w:t>
      </w:r>
    </w:p>
    <w:p w14:paraId="25EB843B">
      <w:pPr>
        <w:autoSpaceDE w:val="0"/>
        <w:autoSpaceDN w:val="0"/>
        <w:adjustRightInd w:val="0"/>
        <w:snapToGrid w:val="0"/>
        <w:spacing w:line="360" w:lineRule="auto"/>
        <w:ind w:firstLine="420" w:firstLineChars="200"/>
        <w:rPr>
          <w:rFonts w:ascii="宋体" w:hAnsi="宋体"/>
        </w:rPr>
      </w:pPr>
      <w:r>
        <w:rPr>
          <w:rFonts w:ascii="宋体" w:hAnsi="宋体"/>
        </w:rPr>
        <w:t>（1）不同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由同一单位或者个人编制；</w:t>
      </w:r>
    </w:p>
    <w:p w14:paraId="614C15B7">
      <w:pPr>
        <w:autoSpaceDE w:val="0"/>
        <w:autoSpaceDN w:val="0"/>
        <w:adjustRightInd w:val="0"/>
        <w:snapToGrid w:val="0"/>
        <w:spacing w:line="360" w:lineRule="auto"/>
        <w:ind w:firstLine="420" w:firstLineChars="200"/>
        <w:rPr>
          <w:rFonts w:ascii="宋体" w:hAnsi="宋体"/>
        </w:rPr>
      </w:pPr>
      <w:r>
        <w:rPr>
          <w:rFonts w:ascii="宋体" w:hAnsi="宋体"/>
        </w:rPr>
        <w:t>（2）不同</w:t>
      </w:r>
      <w:r>
        <w:rPr>
          <w:rFonts w:hint="eastAsia" w:ascii="宋体" w:hAnsi="宋体"/>
        </w:rPr>
        <w:t>比选申请人</w:t>
      </w:r>
      <w:r>
        <w:rPr>
          <w:rFonts w:ascii="宋体" w:hAnsi="宋体"/>
        </w:rPr>
        <w:t>委托同一单位或者个人办理比选申请事宜；</w:t>
      </w:r>
    </w:p>
    <w:p w14:paraId="4BB1B015">
      <w:pPr>
        <w:autoSpaceDE w:val="0"/>
        <w:autoSpaceDN w:val="0"/>
        <w:adjustRightInd w:val="0"/>
        <w:snapToGrid w:val="0"/>
        <w:spacing w:line="360" w:lineRule="auto"/>
        <w:ind w:firstLine="420" w:firstLineChars="200"/>
        <w:rPr>
          <w:rFonts w:ascii="宋体" w:hAnsi="宋体"/>
        </w:rPr>
      </w:pPr>
      <w:r>
        <w:rPr>
          <w:rFonts w:ascii="宋体" w:hAnsi="宋体"/>
        </w:rPr>
        <w:t>（3）不同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载明的项目管理成员为同一人；</w:t>
      </w:r>
    </w:p>
    <w:p w14:paraId="54C21698">
      <w:pPr>
        <w:autoSpaceDE w:val="0"/>
        <w:autoSpaceDN w:val="0"/>
        <w:adjustRightInd w:val="0"/>
        <w:snapToGrid w:val="0"/>
        <w:spacing w:line="360" w:lineRule="auto"/>
        <w:ind w:firstLine="420" w:firstLineChars="200"/>
        <w:rPr>
          <w:rFonts w:ascii="宋体" w:hAnsi="宋体"/>
        </w:rPr>
      </w:pPr>
      <w:r>
        <w:rPr>
          <w:rFonts w:ascii="宋体" w:hAnsi="宋体"/>
        </w:rPr>
        <w:t>（4）不同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异常一致或者</w:t>
      </w:r>
      <w:r>
        <w:rPr>
          <w:rFonts w:hint="eastAsia" w:ascii="宋体" w:hAnsi="宋体"/>
        </w:rPr>
        <w:t>比选申请报价</w:t>
      </w:r>
      <w:r>
        <w:rPr>
          <w:rFonts w:ascii="宋体" w:hAnsi="宋体"/>
        </w:rPr>
        <w:t>呈规律性差异；</w:t>
      </w:r>
    </w:p>
    <w:p w14:paraId="6F4CE896">
      <w:pPr>
        <w:autoSpaceDE w:val="0"/>
        <w:autoSpaceDN w:val="0"/>
        <w:adjustRightInd w:val="0"/>
        <w:snapToGrid w:val="0"/>
        <w:spacing w:line="360" w:lineRule="auto"/>
        <w:ind w:firstLine="420" w:firstLineChars="200"/>
        <w:rPr>
          <w:rFonts w:ascii="宋体" w:hAnsi="宋体"/>
        </w:rPr>
      </w:pPr>
      <w:r>
        <w:rPr>
          <w:rFonts w:ascii="宋体" w:hAnsi="宋体"/>
        </w:rPr>
        <w:t>（5）不同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相互混装；</w:t>
      </w:r>
    </w:p>
    <w:p w14:paraId="5FCA5F05">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使用通过受让或者租借等方式获取的资格、资质证书比选申请的，属于以他人名义比选申请。</w:t>
      </w:r>
    </w:p>
    <w:p w14:paraId="4E39874E">
      <w:pPr>
        <w:autoSpaceDE w:val="0"/>
        <w:autoSpaceDN w:val="0"/>
        <w:adjustRightInd w:val="0"/>
        <w:snapToGrid w:val="0"/>
        <w:spacing w:line="360" w:lineRule="auto"/>
        <w:ind w:firstLine="420" w:firstLineChars="200"/>
        <w:rPr>
          <w:rFonts w:ascii="宋体" w:hAnsi="宋体"/>
        </w:rPr>
      </w:pPr>
      <w:r>
        <w:rPr>
          <w:rFonts w:hint="eastAsia" w:ascii="宋体" w:hAnsi="宋体"/>
        </w:rPr>
        <w:t>9.2.4  比选申请人</w:t>
      </w:r>
      <w:r>
        <w:rPr>
          <w:rFonts w:ascii="宋体" w:hAnsi="宋体"/>
        </w:rPr>
        <w:t>有下列情形之一的，属于以其他方式弄虚作假的行为：</w:t>
      </w:r>
    </w:p>
    <w:p w14:paraId="2FC6C70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14:paraId="2B3095DA">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1CDFA47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77588D9B">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2C59D8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7DEEAACD">
      <w:pPr>
        <w:pStyle w:val="4"/>
        <w:snapToGrid w:val="0"/>
        <w:spacing w:before="0" w:line="360" w:lineRule="auto"/>
        <w:rPr>
          <w:rFonts w:asciiTheme="majorEastAsia" w:hAnsiTheme="majorEastAsia" w:eastAsiaTheme="majorEastAsia" w:cstheme="majorEastAsia"/>
          <w:snapToGrid w:val="0"/>
          <w:sz w:val="21"/>
          <w:szCs w:val="21"/>
        </w:rPr>
      </w:pPr>
      <w:bookmarkStart w:id="375" w:name="_Toc444155961"/>
      <w:bookmarkStart w:id="376" w:name="_Toc30953"/>
      <w:bookmarkStart w:id="377" w:name="_Toc21499"/>
      <w:bookmarkStart w:id="378" w:name="_Toc24095"/>
      <w:bookmarkStart w:id="379" w:name="_Toc13155"/>
      <w:r>
        <w:rPr>
          <w:rFonts w:hint="eastAsia" w:asciiTheme="majorEastAsia" w:hAnsiTheme="majorEastAsia" w:eastAsiaTheme="majorEastAsia" w:cstheme="majorEastAsia"/>
          <w:snapToGrid w:val="0"/>
          <w:sz w:val="21"/>
          <w:szCs w:val="21"/>
        </w:rPr>
        <w:t>9.3 对评审小组成员的纪律要求</w:t>
      </w:r>
      <w:bookmarkEnd w:id="374"/>
      <w:bookmarkEnd w:id="375"/>
      <w:bookmarkEnd w:id="376"/>
      <w:bookmarkEnd w:id="377"/>
      <w:bookmarkEnd w:id="378"/>
      <w:bookmarkEnd w:id="379"/>
    </w:p>
    <w:p w14:paraId="4B93079D">
      <w:pPr>
        <w:autoSpaceDE w:val="0"/>
        <w:autoSpaceDN w:val="0"/>
        <w:adjustRightInd w:val="0"/>
        <w:snapToGrid w:val="0"/>
        <w:spacing w:line="360" w:lineRule="auto"/>
        <w:ind w:firstLine="420"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rPr>
        <w:t>评审小组成员不得收受他人的财物或者其他好处，不得向他人透露对比选申请文件的评审和比较、中选候选人的推荐情况以及评审有关的其他情况。在评审活动中，评审小组成员应当客观、公正地履行职责，遵守职业道德，不得擅离职守，影响评审程序正常进行，不得使用第</w:t>
      </w:r>
      <w:r>
        <w:rPr>
          <w:rFonts w:hint="eastAsia" w:asciiTheme="majorEastAsia" w:hAnsiTheme="majorEastAsia" w:eastAsiaTheme="majorEastAsia" w:cstheme="majorEastAsia"/>
          <w:position w:val="-1"/>
        </w:rPr>
        <w:t>三章“评审办法”没有规定的评审因素和标准进行评审，</w:t>
      </w:r>
      <w:r>
        <w:rPr>
          <w:rFonts w:hint="eastAsia" w:ascii="宋体" w:hAnsi="宋体"/>
          <w:snapToGrid w:val="0"/>
          <w:kern w:val="0"/>
          <w:szCs w:val="21"/>
        </w:rPr>
        <w:t>不得对竞争性比选文件中《否决比选申请情况一览表》以外的内容予以否决比选申请，否则对评审小组成员按《重庆市综合评审专家库和评审专家管理暂行办法》进行处理</w:t>
      </w:r>
      <w:r>
        <w:rPr>
          <w:rFonts w:ascii="宋体" w:hAnsi="宋体"/>
          <w:snapToGrid w:val="0"/>
          <w:kern w:val="0"/>
          <w:szCs w:val="21"/>
        </w:rPr>
        <w:t>。</w:t>
      </w:r>
    </w:p>
    <w:p w14:paraId="1E6F57AC">
      <w:pPr>
        <w:pStyle w:val="4"/>
        <w:snapToGrid w:val="0"/>
        <w:spacing w:before="0" w:line="360" w:lineRule="auto"/>
        <w:rPr>
          <w:rFonts w:asciiTheme="majorEastAsia" w:hAnsiTheme="majorEastAsia" w:eastAsiaTheme="majorEastAsia" w:cstheme="majorEastAsia"/>
          <w:snapToGrid w:val="0"/>
          <w:sz w:val="21"/>
          <w:szCs w:val="21"/>
        </w:rPr>
      </w:pPr>
      <w:bookmarkStart w:id="380" w:name="_Toc8486"/>
      <w:bookmarkStart w:id="381" w:name="_Toc200513176"/>
      <w:bookmarkStart w:id="382" w:name="_Toc444155962"/>
      <w:bookmarkStart w:id="383" w:name="_Toc12062"/>
      <w:bookmarkStart w:id="384" w:name="_Toc20019"/>
      <w:bookmarkStart w:id="385" w:name="_Toc18998"/>
      <w:r>
        <w:rPr>
          <w:rFonts w:hint="eastAsia" w:asciiTheme="majorEastAsia" w:hAnsiTheme="majorEastAsia" w:eastAsiaTheme="majorEastAsia" w:cstheme="majorEastAsia"/>
          <w:snapToGrid w:val="0"/>
          <w:sz w:val="21"/>
          <w:szCs w:val="21"/>
        </w:rPr>
        <w:t>9.4 对与评审活动有关的工作人员的纪律要求</w:t>
      </w:r>
      <w:bookmarkEnd w:id="380"/>
      <w:bookmarkEnd w:id="381"/>
      <w:bookmarkEnd w:id="382"/>
      <w:bookmarkEnd w:id="383"/>
      <w:bookmarkEnd w:id="384"/>
      <w:bookmarkEnd w:id="385"/>
    </w:p>
    <w:p w14:paraId="10CB98A4">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rPr>
        <w:t>与评审活动有关的工作人员不得收受他人的财物或者其他好处，不得向他人透露对比选申请文件的评审和比较、中选候选人的推荐情况以及评审有关的其他情况。在评审活动中，与评审活动有关的工作人员不得擅离职守，影响评审程序正常进行。</w:t>
      </w:r>
    </w:p>
    <w:p w14:paraId="18B212FD">
      <w:pPr>
        <w:pStyle w:val="4"/>
        <w:snapToGrid w:val="0"/>
        <w:spacing w:before="0" w:line="360" w:lineRule="auto"/>
        <w:rPr>
          <w:rFonts w:asciiTheme="majorEastAsia" w:hAnsiTheme="majorEastAsia" w:eastAsiaTheme="majorEastAsia" w:cstheme="majorEastAsia"/>
          <w:snapToGrid w:val="0"/>
          <w:sz w:val="21"/>
          <w:szCs w:val="21"/>
        </w:rPr>
      </w:pPr>
      <w:bookmarkStart w:id="386" w:name="_Toc18718"/>
      <w:bookmarkStart w:id="387" w:name="_Toc200513177"/>
      <w:bookmarkStart w:id="388" w:name="_Toc22229"/>
      <w:bookmarkStart w:id="389" w:name="_Toc444155963"/>
      <w:bookmarkStart w:id="390" w:name="_Toc9829"/>
      <w:bookmarkStart w:id="391" w:name="_Toc22328"/>
      <w:bookmarkStart w:id="392" w:name="OLE_LINK142"/>
      <w:bookmarkStart w:id="393" w:name="OLE_LINK143"/>
      <w:bookmarkStart w:id="394" w:name="OLE_LINK141"/>
      <w:r>
        <w:rPr>
          <w:rFonts w:hint="eastAsia" w:asciiTheme="majorEastAsia" w:hAnsiTheme="majorEastAsia" w:eastAsiaTheme="majorEastAsia" w:cstheme="majorEastAsia"/>
          <w:snapToGrid w:val="0"/>
          <w:sz w:val="21"/>
          <w:szCs w:val="21"/>
        </w:rPr>
        <w:t>9.5 投诉</w:t>
      </w:r>
      <w:bookmarkEnd w:id="386"/>
      <w:bookmarkEnd w:id="387"/>
      <w:bookmarkEnd w:id="388"/>
      <w:bookmarkEnd w:id="389"/>
      <w:bookmarkEnd w:id="390"/>
      <w:bookmarkEnd w:id="391"/>
    </w:p>
    <w:p w14:paraId="493BD00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比选申请人和其他利害关系人认为本次比选活动违反法律、法规和规章规定的，有权向有关行政监督部门投诉。</w:t>
      </w:r>
    </w:p>
    <w:bookmarkEnd w:id="392"/>
    <w:bookmarkEnd w:id="393"/>
    <w:bookmarkEnd w:id="394"/>
    <w:p w14:paraId="466C8521">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395" w:name="_Toc10393"/>
      <w:bookmarkStart w:id="396" w:name="_Toc14781"/>
      <w:bookmarkStart w:id="397" w:name="_Toc23374"/>
      <w:bookmarkStart w:id="398" w:name="_Toc200513178"/>
      <w:bookmarkStart w:id="399" w:name="_Toc444155964"/>
      <w:bookmarkStart w:id="400" w:name="_Toc21517"/>
      <w:bookmarkStart w:id="401" w:name="_Toc22950"/>
      <w:r>
        <w:rPr>
          <w:rFonts w:hint="eastAsia" w:asciiTheme="majorEastAsia" w:hAnsiTheme="majorEastAsia" w:eastAsiaTheme="majorEastAsia" w:cstheme="majorEastAsia"/>
          <w:bCs/>
          <w:spacing w:val="0"/>
          <w:w w:val="100"/>
          <w:kern w:val="0"/>
          <w:sz w:val="21"/>
          <w:szCs w:val="21"/>
        </w:rPr>
        <w:t>10. 需要补充的其他内容</w:t>
      </w:r>
      <w:bookmarkEnd w:id="395"/>
      <w:bookmarkEnd w:id="396"/>
      <w:bookmarkEnd w:id="397"/>
      <w:bookmarkEnd w:id="398"/>
      <w:bookmarkEnd w:id="399"/>
      <w:bookmarkEnd w:id="400"/>
      <w:bookmarkEnd w:id="401"/>
    </w:p>
    <w:p w14:paraId="7F476DFB">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需要补充的其他内容：见比选申请人须知前附表。</w:t>
      </w:r>
    </w:p>
    <w:p w14:paraId="49D2437E">
      <w:pPr>
        <w:pStyle w:val="19"/>
        <w:rPr>
          <w:snapToGrid w:val="0"/>
        </w:rPr>
      </w:pPr>
      <w:r>
        <w:rPr>
          <w:snapToGrid w:val="0"/>
        </w:rPr>
        <w:br w:type="page"/>
      </w:r>
    </w:p>
    <w:p w14:paraId="2C577581">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76BB9317">
      <w:pPr>
        <w:autoSpaceDE w:val="0"/>
        <w:autoSpaceDN w:val="0"/>
        <w:adjustRightInd w:val="0"/>
        <w:snapToGrid w:val="0"/>
        <w:spacing w:line="360" w:lineRule="auto"/>
        <w:jc w:val="left"/>
        <w:rPr>
          <w:rFonts w:ascii="宋体" w:hAnsi="宋体"/>
          <w:b/>
          <w:snapToGrid w:val="0"/>
          <w:kern w:val="0"/>
          <w:sz w:val="24"/>
        </w:rPr>
      </w:pPr>
    </w:p>
    <w:p w14:paraId="29ED6E8E">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437EE011">
      <w:pPr>
        <w:autoSpaceDE w:val="0"/>
        <w:autoSpaceDN w:val="0"/>
        <w:adjustRightInd w:val="0"/>
        <w:snapToGrid w:val="0"/>
        <w:spacing w:line="360" w:lineRule="auto"/>
        <w:jc w:val="left"/>
        <w:rPr>
          <w:rFonts w:ascii="宋体" w:hAnsi="宋体"/>
          <w:b/>
          <w:snapToGrid w:val="0"/>
          <w:kern w:val="0"/>
          <w:sz w:val="24"/>
        </w:rPr>
      </w:pPr>
    </w:p>
    <w:p w14:paraId="392C8C43">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60431771">
      <w:pPr>
        <w:autoSpaceDE w:val="0"/>
        <w:autoSpaceDN w:val="0"/>
        <w:adjustRightInd w:val="0"/>
        <w:snapToGrid w:val="0"/>
        <w:spacing w:line="360" w:lineRule="auto"/>
        <w:jc w:val="left"/>
        <w:rPr>
          <w:rFonts w:ascii="宋体" w:hAnsi="宋体"/>
          <w:b/>
          <w:snapToGrid w:val="0"/>
          <w:kern w:val="0"/>
          <w:sz w:val="24"/>
        </w:rPr>
      </w:pPr>
    </w:p>
    <w:p w14:paraId="4B73B808">
      <w:pPr>
        <w:autoSpaceDE w:val="0"/>
        <w:autoSpaceDN w:val="0"/>
        <w:adjustRightInd w:val="0"/>
        <w:snapToGrid w:val="0"/>
        <w:spacing w:line="360" w:lineRule="auto"/>
        <w:rPr>
          <w:rFonts w:ascii="宋体" w:hAnsi="宋体"/>
          <w:snapToGrid w:val="0"/>
          <w:kern w:val="0"/>
          <w:sz w:val="28"/>
          <w:szCs w:val="28"/>
        </w:rPr>
      </w:pPr>
    </w:p>
    <w:p w14:paraId="027760F5">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比选申请人</w:t>
      </w:r>
      <w:r>
        <w:rPr>
          <w:rFonts w:ascii="宋体" w:hAnsi="宋体"/>
          <w:snapToGrid w:val="0"/>
          <w:kern w:val="0"/>
          <w:szCs w:val="21"/>
        </w:rPr>
        <w:t>名称）：</w:t>
      </w:r>
    </w:p>
    <w:p w14:paraId="32D5BA9D">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评审小组</w:t>
      </w:r>
      <w:r>
        <w:rPr>
          <w:rFonts w:ascii="宋体" w:hAnsi="宋体"/>
          <w:snapToGrid w:val="0"/>
          <w:kern w:val="0"/>
          <w:szCs w:val="21"/>
        </w:rPr>
        <w:t>，对你方的</w:t>
      </w:r>
      <w:r>
        <w:rPr>
          <w:rFonts w:hint="eastAsia" w:ascii="宋体" w:hAnsi="宋体"/>
          <w:snapToGrid w:val="0"/>
          <w:kern w:val="0"/>
          <w:szCs w:val="21"/>
        </w:rPr>
        <w:t>比选申请文件</w:t>
      </w:r>
      <w:r>
        <w:rPr>
          <w:rFonts w:ascii="宋体" w:hAnsi="宋体"/>
          <w:snapToGrid w:val="0"/>
          <w:kern w:val="0"/>
          <w:szCs w:val="21"/>
        </w:rPr>
        <w:t>进行了仔细的审查，现需你方对下列问题以书面形式予以澄清：</w:t>
      </w:r>
    </w:p>
    <w:p w14:paraId="4445162B">
      <w:pPr>
        <w:autoSpaceDE w:val="0"/>
        <w:autoSpaceDN w:val="0"/>
        <w:adjustRightInd w:val="0"/>
        <w:snapToGrid w:val="0"/>
        <w:spacing w:line="360" w:lineRule="auto"/>
        <w:jc w:val="left"/>
        <w:rPr>
          <w:rFonts w:ascii="宋体" w:hAnsi="宋体"/>
          <w:snapToGrid w:val="0"/>
          <w:kern w:val="0"/>
          <w:sz w:val="24"/>
        </w:rPr>
      </w:pPr>
    </w:p>
    <w:p w14:paraId="566D631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4FD8A67D">
      <w:pPr>
        <w:autoSpaceDE w:val="0"/>
        <w:autoSpaceDN w:val="0"/>
        <w:adjustRightInd w:val="0"/>
        <w:snapToGrid w:val="0"/>
        <w:spacing w:line="360" w:lineRule="auto"/>
        <w:jc w:val="left"/>
        <w:rPr>
          <w:rFonts w:ascii="宋体" w:hAnsi="宋体"/>
          <w:snapToGrid w:val="0"/>
          <w:kern w:val="0"/>
          <w:szCs w:val="21"/>
        </w:rPr>
      </w:pPr>
    </w:p>
    <w:p w14:paraId="09373E82">
      <w:pPr>
        <w:autoSpaceDE w:val="0"/>
        <w:autoSpaceDN w:val="0"/>
        <w:adjustRightInd w:val="0"/>
        <w:snapToGrid w:val="0"/>
        <w:spacing w:line="360" w:lineRule="auto"/>
        <w:jc w:val="left"/>
        <w:rPr>
          <w:rFonts w:ascii="宋体" w:hAnsi="宋体"/>
          <w:snapToGrid w:val="0"/>
          <w:kern w:val="0"/>
          <w:szCs w:val="21"/>
        </w:rPr>
      </w:pPr>
    </w:p>
    <w:p w14:paraId="37382ED3">
      <w:pPr>
        <w:autoSpaceDE w:val="0"/>
        <w:autoSpaceDN w:val="0"/>
        <w:adjustRightInd w:val="0"/>
        <w:snapToGrid w:val="0"/>
        <w:spacing w:line="360" w:lineRule="auto"/>
        <w:jc w:val="left"/>
        <w:rPr>
          <w:rFonts w:ascii="宋体" w:hAnsi="宋体"/>
          <w:snapToGrid w:val="0"/>
          <w:kern w:val="0"/>
          <w:szCs w:val="21"/>
        </w:rPr>
      </w:pPr>
    </w:p>
    <w:p w14:paraId="76F9F71C">
      <w:pPr>
        <w:autoSpaceDE w:val="0"/>
        <w:autoSpaceDN w:val="0"/>
        <w:adjustRightInd w:val="0"/>
        <w:snapToGrid w:val="0"/>
        <w:spacing w:line="360" w:lineRule="auto"/>
        <w:jc w:val="left"/>
        <w:rPr>
          <w:rFonts w:ascii="宋体" w:hAnsi="宋体"/>
          <w:snapToGrid w:val="0"/>
          <w:kern w:val="0"/>
          <w:szCs w:val="21"/>
        </w:rPr>
      </w:pPr>
    </w:p>
    <w:p w14:paraId="2AAA94C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6644BF8B">
      <w:pPr>
        <w:autoSpaceDE w:val="0"/>
        <w:autoSpaceDN w:val="0"/>
        <w:adjustRightInd w:val="0"/>
        <w:snapToGrid w:val="0"/>
        <w:spacing w:line="360" w:lineRule="auto"/>
        <w:jc w:val="left"/>
        <w:rPr>
          <w:rFonts w:ascii="宋体" w:hAnsi="宋体"/>
          <w:snapToGrid w:val="0"/>
          <w:kern w:val="0"/>
          <w:szCs w:val="21"/>
        </w:rPr>
      </w:pPr>
    </w:p>
    <w:p w14:paraId="559D271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21084EEF">
      <w:pPr>
        <w:autoSpaceDE w:val="0"/>
        <w:autoSpaceDN w:val="0"/>
        <w:adjustRightInd w:val="0"/>
        <w:snapToGrid w:val="0"/>
        <w:spacing w:line="360" w:lineRule="auto"/>
        <w:jc w:val="left"/>
        <w:rPr>
          <w:rFonts w:ascii="宋体" w:hAnsi="宋体"/>
          <w:snapToGrid w:val="0"/>
          <w:kern w:val="0"/>
          <w:sz w:val="14"/>
          <w:szCs w:val="14"/>
        </w:rPr>
      </w:pPr>
    </w:p>
    <w:p w14:paraId="360E2BF5">
      <w:pPr>
        <w:autoSpaceDE w:val="0"/>
        <w:autoSpaceDN w:val="0"/>
        <w:adjustRightInd w:val="0"/>
        <w:snapToGrid w:val="0"/>
        <w:spacing w:line="360" w:lineRule="auto"/>
        <w:jc w:val="left"/>
        <w:rPr>
          <w:rFonts w:ascii="宋体" w:hAnsi="宋体"/>
          <w:snapToGrid w:val="0"/>
          <w:kern w:val="0"/>
          <w:sz w:val="14"/>
          <w:szCs w:val="14"/>
        </w:rPr>
      </w:pPr>
    </w:p>
    <w:p w14:paraId="6349831D">
      <w:pPr>
        <w:autoSpaceDE w:val="0"/>
        <w:autoSpaceDN w:val="0"/>
        <w:adjustRightInd w:val="0"/>
        <w:snapToGrid w:val="0"/>
        <w:spacing w:line="360" w:lineRule="auto"/>
        <w:jc w:val="left"/>
        <w:rPr>
          <w:rFonts w:ascii="宋体" w:hAnsi="宋体"/>
          <w:snapToGrid w:val="0"/>
          <w:kern w:val="0"/>
          <w:sz w:val="14"/>
          <w:szCs w:val="14"/>
        </w:rPr>
      </w:pPr>
    </w:p>
    <w:p w14:paraId="51E1F29F">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18229072">
      <w:pPr>
        <w:autoSpaceDE w:val="0"/>
        <w:autoSpaceDN w:val="0"/>
        <w:adjustRightInd w:val="0"/>
        <w:snapToGrid w:val="0"/>
        <w:spacing w:line="360" w:lineRule="auto"/>
        <w:jc w:val="left"/>
        <w:rPr>
          <w:rFonts w:ascii="宋体" w:hAnsi="宋体"/>
          <w:snapToGrid w:val="0"/>
          <w:kern w:val="0"/>
          <w:sz w:val="20"/>
        </w:rPr>
      </w:pPr>
    </w:p>
    <w:p w14:paraId="1FD1B442">
      <w:pPr>
        <w:autoSpaceDE w:val="0"/>
        <w:autoSpaceDN w:val="0"/>
        <w:adjustRightInd w:val="0"/>
        <w:snapToGrid w:val="0"/>
        <w:spacing w:line="360" w:lineRule="auto"/>
        <w:jc w:val="left"/>
        <w:rPr>
          <w:rFonts w:ascii="宋体" w:hAnsi="宋体"/>
          <w:snapToGrid w:val="0"/>
          <w:kern w:val="0"/>
          <w:sz w:val="28"/>
          <w:szCs w:val="28"/>
        </w:rPr>
      </w:pPr>
    </w:p>
    <w:p w14:paraId="66E88F28">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评审小组</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1C4713D1">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54856520">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6C790D51">
      <w:pPr>
        <w:pStyle w:val="19"/>
        <w:rPr>
          <w:snapToGrid w:val="0"/>
        </w:rPr>
      </w:pPr>
      <w:r>
        <w:rPr>
          <w:snapToGrid w:val="0"/>
        </w:rPr>
        <w:br w:type="page"/>
      </w:r>
    </w:p>
    <w:p w14:paraId="737DBFFE">
      <w:pPr>
        <w:autoSpaceDE w:val="0"/>
        <w:autoSpaceDN w:val="0"/>
        <w:adjustRightInd w:val="0"/>
        <w:snapToGrid w:val="0"/>
        <w:spacing w:line="360" w:lineRule="auto"/>
        <w:ind w:firstLine="850" w:firstLineChars="405"/>
        <w:jc w:val="right"/>
        <w:rPr>
          <w:rFonts w:ascii="宋体" w:hAnsi="宋体"/>
          <w:snapToGrid w:val="0"/>
          <w:kern w:val="0"/>
          <w:szCs w:val="21"/>
        </w:rPr>
      </w:pPr>
    </w:p>
    <w:p w14:paraId="37CF1C3D">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09764932">
      <w:pPr>
        <w:autoSpaceDE w:val="0"/>
        <w:autoSpaceDN w:val="0"/>
        <w:adjustRightInd w:val="0"/>
        <w:snapToGrid w:val="0"/>
        <w:spacing w:line="360" w:lineRule="auto"/>
        <w:jc w:val="left"/>
        <w:rPr>
          <w:rFonts w:ascii="宋体" w:hAnsi="宋体"/>
          <w:b/>
          <w:snapToGrid w:val="0"/>
          <w:kern w:val="0"/>
          <w:sz w:val="10"/>
          <w:szCs w:val="10"/>
        </w:rPr>
      </w:pPr>
    </w:p>
    <w:p w14:paraId="0C79FAB5">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2D40993D">
      <w:pPr>
        <w:autoSpaceDE w:val="0"/>
        <w:autoSpaceDN w:val="0"/>
        <w:adjustRightInd w:val="0"/>
        <w:snapToGrid w:val="0"/>
        <w:spacing w:line="360" w:lineRule="auto"/>
        <w:ind w:firstLine="3255" w:firstLineChars="1550"/>
        <w:jc w:val="left"/>
        <w:rPr>
          <w:rFonts w:ascii="宋体" w:hAnsi="宋体"/>
          <w:snapToGrid w:val="0"/>
          <w:kern w:val="0"/>
          <w:szCs w:val="21"/>
        </w:rPr>
      </w:pPr>
    </w:p>
    <w:p w14:paraId="3CA1BB42">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7CC784E6">
      <w:pPr>
        <w:autoSpaceDE w:val="0"/>
        <w:autoSpaceDN w:val="0"/>
        <w:adjustRightInd w:val="0"/>
        <w:snapToGrid w:val="0"/>
        <w:spacing w:line="360" w:lineRule="auto"/>
        <w:ind w:firstLine="3150" w:firstLineChars="1500"/>
        <w:rPr>
          <w:rFonts w:ascii="宋体" w:hAnsi="宋体"/>
          <w:snapToGrid w:val="0"/>
          <w:kern w:val="0"/>
          <w:szCs w:val="21"/>
        </w:rPr>
      </w:pPr>
    </w:p>
    <w:p w14:paraId="633FE073">
      <w:pPr>
        <w:autoSpaceDE w:val="0"/>
        <w:autoSpaceDN w:val="0"/>
        <w:adjustRightInd w:val="0"/>
        <w:snapToGrid w:val="0"/>
        <w:spacing w:line="360" w:lineRule="auto"/>
        <w:ind w:firstLine="3150" w:firstLineChars="1500"/>
        <w:rPr>
          <w:rFonts w:ascii="宋体" w:hAnsi="宋体"/>
          <w:snapToGrid w:val="0"/>
          <w:kern w:val="0"/>
          <w:szCs w:val="21"/>
        </w:rPr>
      </w:pPr>
    </w:p>
    <w:p w14:paraId="3CA3EC21">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评审小组</w:t>
      </w:r>
      <w:r>
        <w:rPr>
          <w:rFonts w:ascii="宋体" w:hAnsi="宋体"/>
          <w:snapToGrid w:val="0"/>
          <w:kern w:val="0"/>
          <w:szCs w:val="21"/>
        </w:rPr>
        <w:t>：</w:t>
      </w:r>
    </w:p>
    <w:p w14:paraId="0015E43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0AB90926">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110B2F02">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549FCD1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4B94C6F6">
      <w:pPr>
        <w:autoSpaceDE w:val="0"/>
        <w:autoSpaceDN w:val="0"/>
        <w:adjustRightInd w:val="0"/>
        <w:snapToGrid w:val="0"/>
        <w:spacing w:line="360" w:lineRule="auto"/>
        <w:jc w:val="left"/>
        <w:rPr>
          <w:rFonts w:ascii="宋体" w:hAnsi="宋体"/>
          <w:snapToGrid w:val="0"/>
          <w:kern w:val="0"/>
          <w:sz w:val="18"/>
          <w:szCs w:val="18"/>
        </w:rPr>
      </w:pPr>
    </w:p>
    <w:p w14:paraId="7F116378">
      <w:pPr>
        <w:autoSpaceDE w:val="0"/>
        <w:autoSpaceDN w:val="0"/>
        <w:adjustRightInd w:val="0"/>
        <w:snapToGrid w:val="0"/>
        <w:spacing w:line="360" w:lineRule="auto"/>
        <w:jc w:val="left"/>
        <w:rPr>
          <w:rFonts w:ascii="宋体" w:hAnsi="宋体"/>
          <w:snapToGrid w:val="0"/>
          <w:kern w:val="0"/>
          <w:sz w:val="18"/>
          <w:szCs w:val="18"/>
        </w:rPr>
      </w:pPr>
    </w:p>
    <w:p w14:paraId="1AF02512">
      <w:pPr>
        <w:autoSpaceDE w:val="0"/>
        <w:autoSpaceDN w:val="0"/>
        <w:adjustRightInd w:val="0"/>
        <w:snapToGrid w:val="0"/>
        <w:spacing w:line="360" w:lineRule="auto"/>
        <w:jc w:val="left"/>
        <w:rPr>
          <w:rFonts w:ascii="宋体" w:hAnsi="宋体"/>
          <w:snapToGrid w:val="0"/>
          <w:kern w:val="0"/>
          <w:sz w:val="18"/>
          <w:szCs w:val="18"/>
        </w:rPr>
      </w:pPr>
    </w:p>
    <w:p w14:paraId="1A030082">
      <w:pPr>
        <w:autoSpaceDE w:val="0"/>
        <w:autoSpaceDN w:val="0"/>
        <w:adjustRightInd w:val="0"/>
        <w:snapToGrid w:val="0"/>
        <w:spacing w:line="360" w:lineRule="auto"/>
        <w:jc w:val="left"/>
        <w:rPr>
          <w:rFonts w:ascii="宋体" w:hAnsi="宋体"/>
          <w:snapToGrid w:val="0"/>
          <w:kern w:val="0"/>
          <w:sz w:val="18"/>
          <w:szCs w:val="18"/>
        </w:rPr>
      </w:pPr>
    </w:p>
    <w:p w14:paraId="32119F3E">
      <w:pPr>
        <w:autoSpaceDE w:val="0"/>
        <w:autoSpaceDN w:val="0"/>
        <w:adjustRightInd w:val="0"/>
        <w:snapToGrid w:val="0"/>
        <w:spacing w:line="360" w:lineRule="auto"/>
        <w:jc w:val="left"/>
        <w:rPr>
          <w:rFonts w:ascii="宋体" w:hAnsi="宋体"/>
          <w:snapToGrid w:val="0"/>
          <w:kern w:val="0"/>
          <w:sz w:val="18"/>
          <w:szCs w:val="18"/>
        </w:rPr>
      </w:pPr>
    </w:p>
    <w:p w14:paraId="2A26510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6FB69DD">
      <w:pPr>
        <w:autoSpaceDE w:val="0"/>
        <w:autoSpaceDN w:val="0"/>
        <w:adjustRightInd w:val="0"/>
        <w:snapToGrid w:val="0"/>
        <w:spacing w:line="360" w:lineRule="auto"/>
        <w:jc w:val="left"/>
        <w:rPr>
          <w:rFonts w:ascii="宋体" w:hAnsi="宋体"/>
          <w:snapToGrid w:val="0"/>
          <w:kern w:val="0"/>
          <w:sz w:val="20"/>
        </w:rPr>
      </w:pPr>
    </w:p>
    <w:p w14:paraId="2DE80C7B">
      <w:pPr>
        <w:autoSpaceDE w:val="0"/>
        <w:autoSpaceDN w:val="0"/>
        <w:adjustRightInd w:val="0"/>
        <w:snapToGrid w:val="0"/>
        <w:spacing w:line="360" w:lineRule="auto"/>
        <w:jc w:val="left"/>
        <w:rPr>
          <w:rFonts w:ascii="宋体" w:hAnsi="宋体"/>
          <w:snapToGrid w:val="0"/>
          <w:kern w:val="0"/>
          <w:sz w:val="20"/>
        </w:rPr>
      </w:pPr>
    </w:p>
    <w:p w14:paraId="3B13EA6F">
      <w:pPr>
        <w:autoSpaceDE w:val="0"/>
        <w:autoSpaceDN w:val="0"/>
        <w:adjustRightInd w:val="0"/>
        <w:snapToGrid w:val="0"/>
        <w:spacing w:line="360" w:lineRule="auto"/>
        <w:jc w:val="left"/>
        <w:rPr>
          <w:rFonts w:ascii="宋体" w:hAnsi="宋体"/>
          <w:snapToGrid w:val="0"/>
          <w:kern w:val="0"/>
          <w:sz w:val="22"/>
          <w:szCs w:val="22"/>
        </w:rPr>
      </w:pPr>
    </w:p>
    <w:p w14:paraId="306F895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0F1FFAC3">
      <w:pPr>
        <w:autoSpaceDE w:val="0"/>
        <w:autoSpaceDN w:val="0"/>
        <w:adjustRightInd w:val="0"/>
        <w:snapToGrid w:val="0"/>
        <w:spacing w:line="360" w:lineRule="auto"/>
        <w:jc w:val="left"/>
        <w:rPr>
          <w:rFonts w:ascii="宋体" w:hAnsi="宋体"/>
          <w:snapToGrid w:val="0"/>
          <w:kern w:val="0"/>
          <w:sz w:val="18"/>
          <w:szCs w:val="18"/>
        </w:rPr>
      </w:pPr>
    </w:p>
    <w:p w14:paraId="37DB2203">
      <w:pPr>
        <w:autoSpaceDE w:val="0"/>
        <w:autoSpaceDN w:val="0"/>
        <w:adjustRightInd w:val="0"/>
        <w:snapToGrid w:val="0"/>
        <w:spacing w:line="360" w:lineRule="auto"/>
        <w:jc w:val="left"/>
        <w:rPr>
          <w:rFonts w:ascii="宋体" w:hAnsi="宋体"/>
          <w:snapToGrid w:val="0"/>
          <w:kern w:val="0"/>
          <w:sz w:val="20"/>
        </w:rPr>
      </w:pPr>
    </w:p>
    <w:p w14:paraId="17A2EBD0">
      <w:pPr>
        <w:autoSpaceDE w:val="0"/>
        <w:autoSpaceDN w:val="0"/>
        <w:adjustRightInd w:val="0"/>
        <w:snapToGrid w:val="0"/>
        <w:spacing w:line="360" w:lineRule="auto"/>
        <w:jc w:val="left"/>
        <w:rPr>
          <w:rFonts w:ascii="宋体" w:hAnsi="宋体"/>
          <w:snapToGrid w:val="0"/>
          <w:kern w:val="0"/>
          <w:sz w:val="20"/>
        </w:rPr>
      </w:pPr>
    </w:p>
    <w:p w14:paraId="4043167D">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122FB50D">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FA394FF">
      <w:pPr>
        <w:autoSpaceDE w:val="0"/>
        <w:autoSpaceDN w:val="0"/>
        <w:adjustRightInd w:val="0"/>
        <w:snapToGrid w:val="0"/>
        <w:spacing w:line="360" w:lineRule="auto"/>
        <w:jc w:val="right"/>
        <w:rPr>
          <w:rFonts w:ascii="宋体" w:hAnsi="宋体"/>
          <w:snapToGrid w:val="0"/>
          <w:kern w:val="0"/>
          <w:sz w:val="20"/>
        </w:rPr>
      </w:pPr>
    </w:p>
    <w:p w14:paraId="3BA61B91">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71D7CF5E">
      <w:pPr>
        <w:pStyle w:val="19"/>
        <w:rPr>
          <w:snapToGrid w:val="0"/>
        </w:rPr>
      </w:pPr>
      <w:r>
        <w:rPr>
          <w:snapToGrid w:val="0"/>
        </w:rPr>
        <w:br w:type="page"/>
      </w:r>
    </w:p>
    <w:p w14:paraId="6D5EC695">
      <w:pPr>
        <w:pStyle w:val="2"/>
        <w:numPr>
          <w:ilvl w:val="0"/>
          <w:numId w:val="0"/>
        </w:numPr>
        <w:ind w:firstLine="723" w:firstLineChars="200"/>
        <w:rPr>
          <w:rFonts w:asciiTheme="majorEastAsia" w:hAnsiTheme="majorEastAsia" w:eastAsiaTheme="majorEastAsia" w:cstheme="majorEastAsia"/>
        </w:rPr>
      </w:pPr>
      <w:bookmarkStart w:id="402" w:name="_Toc17243"/>
      <w:bookmarkStart w:id="403" w:name="_Toc11534"/>
      <w:bookmarkStart w:id="404" w:name="_Toc10625"/>
      <w:bookmarkStart w:id="405" w:name="_Toc440022824"/>
      <w:bookmarkStart w:id="406" w:name="_Toc444155965"/>
      <w:bookmarkStart w:id="407" w:name="_Toc18073"/>
      <w:bookmarkStart w:id="408" w:name="_Toc202469367"/>
      <w:bookmarkStart w:id="409" w:name="_Toc24282"/>
      <w:bookmarkStart w:id="410" w:name="_Toc359587985"/>
      <w:bookmarkStart w:id="411" w:name="_Toc27237"/>
      <w:bookmarkStart w:id="412" w:name="_Toc26213"/>
      <w:bookmarkStart w:id="413" w:name="_Toc359588084"/>
      <w:bookmarkStart w:id="414" w:name="_Toc277543153"/>
      <w:bookmarkStart w:id="415" w:name="_Toc444155988"/>
      <w:bookmarkStart w:id="416" w:name="_Toc224103476"/>
      <w:bookmarkStart w:id="417" w:name="_Toc454967660"/>
      <w:r>
        <w:rPr>
          <w:rFonts w:hint="eastAsia" w:asciiTheme="majorEastAsia" w:hAnsiTheme="majorEastAsia" w:eastAsiaTheme="majorEastAsia" w:cstheme="majorEastAsia"/>
          <w:b/>
          <w:kern w:val="0"/>
          <w:sz w:val="36"/>
          <w:szCs w:val="36"/>
        </w:rPr>
        <w:t>第三章 评审办法</w:t>
      </w:r>
      <w:bookmarkEnd w:id="402"/>
      <w:bookmarkEnd w:id="403"/>
      <w:bookmarkEnd w:id="404"/>
      <w:bookmarkEnd w:id="405"/>
      <w:bookmarkEnd w:id="406"/>
      <w:bookmarkEnd w:id="407"/>
      <w:r>
        <w:rPr>
          <w:rFonts w:hint="eastAsia" w:asciiTheme="majorEastAsia" w:hAnsiTheme="majorEastAsia" w:eastAsiaTheme="majorEastAsia" w:cstheme="majorEastAsia"/>
          <w:b/>
          <w:kern w:val="0"/>
          <w:sz w:val="36"/>
          <w:szCs w:val="36"/>
        </w:rPr>
        <w:t>（综合评估法）</w:t>
      </w:r>
      <w:bookmarkEnd w:id="408"/>
    </w:p>
    <w:p w14:paraId="0B8090AA">
      <w:pPr>
        <w:keepNext/>
        <w:keepLines/>
        <w:adjustRightInd w:val="0"/>
        <w:snapToGrid w:val="0"/>
        <w:spacing w:line="400" w:lineRule="exact"/>
        <w:outlineLvl w:val="1"/>
        <w:rPr>
          <w:rFonts w:asciiTheme="majorEastAsia" w:hAnsiTheme="majorEastAsia" w:eastAsiaTheme="majorEastAsia" w:cstheme="majorEastAsia"/>
          <w:b/>
          <w:spacing w:val="1"/>
          <w:szCs w:val="21"/>
        </w:rPr>
      </w:pPr>
      <w:bookmarkStart w:id="418" w:name="_Toc27076"/>
      <w:r>
        <w:rPr>
          <w:rFonts w:hint="eastAsia" w:asciiTheme="majorEastAsia" w:hAnsiTheme="majorEastAsia" w:eastAsiaTheme="majorEastAsia" w:cstheme="majorEastAsia"/>
          <w:b/>
          <w:spacing w:val="1"/>
          <w:szCs w:val="21"/>
        </w:rPr>
        <w:t>评审办法前附表</w:t>
      </w:r>
      <w:bookmarkEnd w:id="418"/>
    </w:p>
    <w:p w14:paraId="457B1C7D">
      <w:pPr>
        <w:adjustRightInd w:val="0"/>
        <w:snapToGrid w:val="0"/>
        <w:spacing w:line="400" w:lineRule="exact"/>
        <w:ind w:firstLine="427" w:firstLineChars="196"/>
        <w:rPr>
          <w:rFonts w:asciiTheme="majorEastAsia" w:hAnsiTheme="majorEastAsia" w:eastAsiaTheme="majorEastAsia" w:cstheme="majorEastAsia"/>
          <w:spacing w:val="4"/>
          <w:kern w:val="0"/>
          <w:szCs w:val="21"/>
        </w:rPr>
      </w:pPr>
      <w:r>
        <w:rPr>
          <w:rFonts w:hint="eastAsia" w:asciiTheme="majorEastAsia" w:hAnsiTheme="majorEastAsia" w:eastAsiaTheme="majorEastAsia" w:cstheme="majorEastAsia"/>
          <w:spacing w:val="4"/>
          <w:kern w:val="0"/>
          <w:szCs w:val="21"/>
        </w:rPr>
        <w:t>评审办法前附表中的评审内容必须和比选申请人须知前附表中的对应内容一致，若比选申请人须知前附表中未作要求的内容，不得列入评审办法前附表作为评定依据。</w:t>
      </w:r>
    </w:p>
    <w:tbl>
      <w:tblPr>
        <w:tblStyle w:val="50"/>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15"/>
        <w:gridCol w:w="514"/>
        <w:gridCol w:w="1352"/>
        <w:gridCol w:w="176"/>
        <w:gridCol w:w="5475"/>
      </w:tblGrid>
      <w:tr w14:paraId="440C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05D8AAC">
            <w:pPr>
              <w:spacing w:line="400" w:lineRule="exact"/>
              <w:jc w:val="center"/>
              <w:rPr>
                <w:rFonts w:asciiTheme="majorEastAsia" w:hAnsiTheme="majorEastAsia" w:eastAsiaTheme="majorEastAsia" w:cstheme="majorEastAsia"/>
                <w:b/>
                <w:kern w:val="0"/>
                <w:szCs w:val="21"/>
              </w:rPr>
            </w:pPr>
            <w:bookmarkStart w:id="419" w:name="CQZH1_07"/>
            <w:r>
              <w:rPr>
                <w:rFonts w:hint="eastAsia" w:asciiTheme="majorEastAsia" w:hAnsiTheme="majorEastAsia" w:eastAsiaTheme="majorEastAsia" w:cstheme="majorEastAsia"/>
                <w:b/>
                <w:kern w:val="0"/>
                <w:szCs w:val="21"/>
              </w:rPr>
              <w:t>条款号</w:t>
            </w:r>
          </w:p>
        </w:tc>
        <w:tc>
          <w:tcPr>
            <w:tcW w:w="1415" w:type="dxa"/>
            <w:vAlign w:val="center"/>
          </w:tcPr>
          <w:p w14:paraId="04E1FD4A">
            <w:pPr>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评审因素</w:t>
            </w:r>
          </w:p>
        </w:tc>
        <w:tc>
          <w:tcPr>
            <w:tcW w:w="7517" w:type="dxa"/>
            <w:gridSpan w:val="4"/>
            <w:vAlign w:val="center"/>
          </w:tcPr>
          <w:p w14:paraId="45179854">
            <w:pPr>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评审标准</w:t>
            </w:r>
          </w:p>
        </w:tc>
      </w:tr>
      <w:tr w14:paraId="7183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2812C64">
            <w:pPr>
              <w:spacing w:line="400" w:lineRule="exact"/>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1</w:t>
            </w:r>
          </w:p>
        </w:tc>
        <w:tc>
          <w:tcPr>
            <w:tcW w:w="1415" w:type="dxa"/>
            <w:vAlign w:val="center"/>
          </w:tcPr>
          <w:p w14:paraId="0370FDDB">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评审办法</w:t>
            </w:r>
          </w:p>
        </w:tc>
        <w:tc>
          <w:tcPr>
            <w:tcW w:w="7517" w:type="dxa"/>
            <w:gridSpan w:val="4"/>
          </w:tcPr>
          <w:p w14:paraId="2FDD4527">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评审采用综合评估法。评审小组对满足比选文件实质性要求的比选申请文件，按照本章第2.2款规定的评审标准进行打分，并按得分由高到低顺序推荐中选候选人。综合评分相等时，以比选申请报价低的优先；比选申请报价也相等的，则由评审小组采用</w:t>
            </w:r>
            <w:r>
              <w:rPr>
                <w:rFonts w:hint="eastAsia" w:asciiTheme="majorEastAsia" w:hAnsiTheme="majorEastAsia" w:eastAsiaTheme="majorEastAsia" w:cstheme="majorEastAsia"/>
                <w:szCs w:val="21"/>
                <w:u w:val="single"/>
              </w:rPr>
              <w:t>比选申请人在比选申请文件中提供的经会计师事务所或审计机构出具的合法有效的2024年度财务审计报告及财务报表所显示的营业收入最高的排名优先</w:t>
            </w:r>
            <w:r>
              <w:rPr>
                <w:rFonts w:hint="eastAsia" w:asciiTheme="majorEastAsia" w:hAnsiTheme="majorEastAsia" w:eastAsiaTheme="majorEastAsia" w:cstheme="majorEastAsia"/>
                <w:szCs w:val="21"/>
              </w:rPr>
              <w:t>确定排名顺序。</w:t>
            </w:r>
          </w:p>
        </w:tc>
      </w:tr>
      <w:tr w14:paraId="7C52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restart"/>
            <w:vAlign w:val="center"/>
          </w:tcPr>
          <w:p w14:paraId="6A50701B">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2.1.1</w:t>
            </w:r>
          </w:p>
        </w:tc>
        <w:tc>
          <w:tcPr>
            <w:tcW w:w="1415" w:type="dxa"/>
            <w:vMerge w:val="restart"/>
            <w:textDirection w:val="tbRlV"/>
            <w:vAlign w:val="center"/>
          </w:tcPr>
          <w:p w14:paraId="708A0A68">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资格评审标准</w:t>
            </w:r>
          </w:p>
        </w:tc>
        <w:tc>
          <w:tcPr>
            <w:tcW w:w="2042" w:type="dxa"/>
            <w:gridSpan w:val="3"/>
            <w:vAlign w:val="center"/>
          </w:tcPr>
          <w:p w14:paraId="11974726">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营业执照</w:t>
            </w:r>
          </w:p>
        </w:tc>
        <w:tc>
          <w:tcPr>
            <w:tcW w:w="5475" w:type="dxa"/>
            <w:vAlign w:val="center"/>
          </w:tcPr>
          <w:p w14:paraId="725A3351">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12E4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3985BE21">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71A3C321">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15D09870">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一般纳税人</w:t>
            </w:r>
          </w:p>
        </w:tc>
        <w:tc>
          <w:tcPr>
            <w:tcW w:w="5475" w:type="dxa"/>
            <w:vAlign w:val="center"/>
          </w:tcPr>
          <w:p w14:paraId="4E8CB632">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093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317FA5DF">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6984269A">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2201C10C">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rPr>
              <w:t>资质</w:t>
            </w:r>
            <w:r>
              <w:rPr>
                <w:rFonts w:asciiTheme="majorEastAsia" w:hAnsiTheme="majorEastAsia" w:eastAsiaTheme="majorEastAsia" w:cstheme="majorEastAsia"/>
              </w:rPr>
              <w:t>要求</w:t>
            </w:r>
          </w:p>
        </w:tc>
        <w:tc>
          <w:tcPr>
            <w:tcW w:w="5475" w:type="dxa"/>
            <w:vAlign w:val="center"/>
          </w:tcPr>
          <w:p w14:paraId="33EF289E">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14B4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477976ED">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7ACF1B95">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11976599">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财务要求</w:t>
            </w:r>
          </w:p>
        </w:tc>
        <w:tc>
          <w:tcPr>
            <w:tcW w:w="5475" w:type="dxa"/>
            <w:vAlign w:val="center"/>
          </w:tcPr>
          <w:p w14:paraId="54107C7E">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2366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2137236F">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6128C344">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5DD21C4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业绩要求</w:t>
            </w:r>
          </w:p>
        </w:tc>
        <w:tc>
          <w:tcPr>
            <w:tcW w:w="5475" w:type="dxa"/>
            <w:vAlign w:val="center"/>
          </w:tcPr>
          <w:p w14:paraId="12130860">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1049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4C57C913">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0CE1DB1C">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7577EEFE">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信誉要求</w:t>
            </w:r>
          </w:p>
        </w:tc>
        <w:tc>
          <w:tcPr>
            <w:tcW w:w="5475" w:type="dxa"/>
            <w:vAlign w:val="center"/>
          </w:tcPr>
          <w:p w14:paraId="353BA334">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55A5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371609FE">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33079219">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15CAD903">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其他要求</w:t>
            </w:r>
          </w:p>
        </w:tc>
        <w:tc>
          <w:tcPr>
            <w:tcW w:w="5475" w:type="dxa"/>
            <w:vAlign w:val="center"/>
          </w:tcPr>
          <w:p w14:paraId="6FE71663">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3CB6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restart"/>
            <w:vAlign w:val="center"/>
          </w:tcPr>
          <w:p w14:paraId="0164A6D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2.1.2</w:t>
            </w:r>
          </w:p>
        </w:tc>
        <w:tc>
          <w:tcPr>
            <w:tcW w:w="1415" w:type="dxa"/>
            <w:vMerge w:val="restart"/>
            <w:textDirection w:val="tbRlV"/>
            <w:vAlign w:val="center"/>
          </w:tcPr>
          <w:p w14:paraId="782B8F1B">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形式评审标准</w:t>
            </w:r>
          </w:p>
        </w:tc>
        <w:tc>
          <w:tcPr>
            <w:tcW w:w="2042" w:type="dxa"/>
            <w:gridSpan w:val="3"/>
            <w:vAlign w:val="center"/>
          </w:tcPr>
          <w:p w14:paraId="34674EA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比选申请人名称</w:t>
            </w:r>
          </w:p>
        </w:tc>
        <w:tc>
          <w:tcPr>
            <w:tcW w:w="5475" w:type="dxa"/>
            <w:vAlign w:val="center"/>
          </w:tcPr>
          <w:p w14:paraId="205BEDC7">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与营业执照、资质证书一致</w:t>
            </w:r>
          </w:p>
        </w:tc>
      </w:tr>
      <w:tr w14:paraId="32DD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2FD65ADE">
            <w:pPr>
              <w:spacing w:line="400" w:lineRule="exact"/>
              <w:rPr>
                <w:rFonts w:asciiTheme="majorEastAsia" w:hAnsiTheme="majorEastAsia" w:eastAsiaTheme="majorEastAsia" w:cstheme="majorEastAsia"/>
                <w:szCs w:val="21"/>
              </w:rPr>
            </w:pPr>
          </w:p>
        </w:tc>
        <w:tc>
          <w:tcPr>
            <w:tcW w:w="1415" w:type="dxa"/>
            <w:vMerge w:val="continue"/>
            <w:vAlign w:val="center"/>
          </w:tcPr>
          <w:p w14:paraId="192D0B55">
            <w:pPr>
              <w:spacing w:line="400" w:lineRule="exact"/>
              <w:jc w:val="center"/>
              <w:rPr>
                <w:rFonts w:asciiTheme="majorEastAsia" w:hAnsiTheme="majorEastAsia" w:eastAsiaTheme="majorEastAsia" w:cstheme="majorEastAsia"/>
                <w:szCs w:val="21"/>
              </w:rPr>
            </w:pPr>
          </w:p>
        </w:tc>
        <w:tc>
          <w:tcPr>
            <w:tcW w:w="2042" w:type="dxa"/>
            <w:gridSpan w:val="3"/>
            <w:vAlign w:val="center"/>
          </w:tcPr>
          <w:p w14:paraId="6F2562A5">
            <w:pPr>
              <w:spacing w:line="400" w:lineRule="exact"/>
              <w:jc w:val="center"/>
              <w:rPr>
                <w:rFonts w:ascii="宋体" w:hAnsi="宋体"/>
                <w:kern w:val="0"/>
              </w:rPr>
            </w:pPr>
            <w:r>
              <w:rPr>
                <w:rFonts w:hint="eastAsia" w:ascii="宋体" w:hAnsi="宋体"/>
                <w:kern w:val="0"/>
              </w:rPr>
              <w:t>比选申请函签名</w:t>
            </w:r>
            <w:r>
              <w:rPr>
                <w:rFonts w:ascii="宋体" w:hAnsi="宋体"/>
                <w:kern w:val="0"/>
              </w:rPr>
              <w:t>盖章</w:t>
            </w:r>
          </w:p>
        </w:tc>
        <w:tc>
          <w:tcPr>
            <w:tcW w:w="5475" w:type="dxa"/>
            <w:vAlign w:val="center"/>
          </w:tcPr>
          <w:p w14:paraId="0260EED1">
            <w:pPr>
              <w:spacing w:line="400" w:lineRule="exact"/>
              <w:rPr>
                <w:rFonts w:ascii="宋体" w:hAnsi="宋体"/>
                <w:kern w:val="0"/>
              </w:rPr>
            </w:pPr>
            <w:r>
              <w:rPr>
                <w:rFonts w:hint="eastAsia" w:ascii="宋体" w:hAnsi="宋体"/>
                <w:kern w:val="0"/>
              </w:rPr>
              <w:t>第七章 比选申请文件</w:t>
            </w:r>
            <w:r>
              <w:rPr>
                <w:rFonts w:ascii="宋体" w:hAnsi="宋体"/>
                <w:kern w:val="0"/>
              </w:rPr>
              <w:t>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w:t>
            </w:r>
            <w:r>
              <w:rPr>
                <w:rFonts w:hint="eastAsia" w:ascii="宋体" w:hAnsi="宋体"/>
                <w:kern w:val="0"/>
              </w:rPr>
              <w:t>公</w:t>
            </w:r>
            <w:r>
              <w:rPr>
                <w:rFonts w:ascii="宋体" w:hAnsi="宋体"/>
                <w:kern w:val="0"/>
              </w:rPr>
              <w:t>章。</w:t>
            </w:r>
          </w:p>
        </w:tc>
      </w:tr>
      <w:tr w14:paraId="53A1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459DB925">
            <w:pPr>
              <w:spacing w:line="400" w:lineRule="exact"/>
              <w:rPr>
                <w:rFonts w:asciiTheme="majorEastAsia" w:hAnsiTheme="majorEastAsia" w:eastAsiaTheme="majorEastAsia" w:cstheme="majorEastAsia"/>
                <w:szCs w:val="21"/>
              </w:rPr>
            </w:pPr>
          </w:p>
        </w:tc>
        <w:tc>
          <w:tcPr>
            <w:tcW w:w="1415" w:type="dxa"/>
            <w:vMerge w:val="continue"/>
            <w:vAlign w:val="center"/>
          </w:tcPr>
          <w:p w14:paraId="1858E29E">
            <w:pPr>
              <w:spacing w:line="400" w:lineRule="exact"/>
              <w:jc w:val="center"/>
              <w:rPr>
                <w:rFonts w:asciiTheme="majorEastAsia" w:hAnsiTheme="majorEastAsia" w:eastAsiaTheme="majorEastAsia" w:cstheme="majorEastAsia"/>
                <w:szCs w:val="21"/>
              </w:rPr>
            </w:pPr>
          </w:p>
        </w:tc>
        <w:tc>
          <w:tcPr>
            <w:tcW w:w="2042" w:type="dxa"/>
            <w:gridSpan w:val="3"/>
            <w:vAlign w:val="center"/>
          </w:tcPr>
          <w:p w14:paraId="669212B1">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比选申请文件的签字盖章</w:t>
            </w:r>
          </w:p>
        </w:tc>
        <w:tc>
          <w:tcPr>
            <w:tcW w:w="5475" w:type="dxa"/>
            <w:vAlign w:val="center"/>
          </w:tcPr>
          <w:p w14:paraId="747801EE">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符合第二章“比选申请人须知”第3.7.3项规定</w:t>
            </w:r>
          </w:p>
        </w:tc>
      </w:tr>
      <w:tr w14:paraId="794C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20" w:type="dxa"/>
            <w:vMerge w:val="continue"/>
          </w:tcPr>
          <w:p w14:paraId="7AB813CD">
            <w:pPr>
              <w:spacing w:line="400" w:lineRule="exact"/>
              <w:rPr>
                <w:rFonts w:asciiTheme="majorEastAsia" w:hAnsiTheme="majorEastAsia" w:eastAsiaTheme="majorEastAsia" w:cstheme="majorEastAsia"/>
                <w:szCs w:val="21"/>
              </w:rPr>
            </w:pPr>
          </w:p>
        </w:tc>
        <w:tc>
          <w:tcPr>
            <w:tcW w:w="1415" w:type="dxa"/>
            <w:vMerge w:val="continue"/>
            <w:vAlign w:val="center"/>
          </w:tcPr>
          <w:p w14:paraId="0C70D398">
            <w:pPr>
              <w:spacing w:line="400" w:lineRule="exact"/>
              <w:jc w:val="center"/>
              <w:rPr>
                <w:rFonts w:asciiTheme="majorEastAsia" w:hAnsiTheme="majorEastAsia" w:eastAsiaTheme="majorEastAsia" w:cstheme="majorEastAsia"/>
                <w:szCs w:val="21"/>
              </w:rPr>
            </w:pPr>
          </w:p>
        </w:tc>
        <w:tc>
          <w:tcPr>
            <w:tcW w:w="2042" w:type="dxa"/>
            <w:gridSpan w:val="3"/>
            <w:vAlign w:val="center"/>
          </w:tcPr>
          <w:p w14:paraId="5C2EE5AC">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比选申请文件格式</w:t>
            </w:r>
          </w:p>
        </w:tc>
        <w:tc>
          <w:tcPr>
            <w:tcW w:w="5475" w:type="dxa"/>
            <w:vAlign w:val="center"/>
          </w:tcPr>
          <w:p w14:paraId="4D9CAA1E">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符合第七章“比选申请文件格式”的要求</w:t>
            </w:r>
          </w:p>
        </w:tc>
      </w:tr>
      <w:tr w14:paraId="63CC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20" w:type="dxa"/>
            <w:vMerge w:val="continue"/>
          </w:tcPr>
          <w:p w14:paraId="2C558214">
            <w:pPr>
              <w:spacing w:line="400" w:lineRule="exact"/>
              <w:rPr>
                <w:rFonts w:asciiTheme="majorEastAsia" w:hAnsiTheme="majorEastAsia" w:eastAsiaTheme="majorEastAsia" w:cstheme="majorEastAsia"/>
                <w:szCs w:val="21"/>
              </w:rPr>
            </w:pPr>
          </w:p>
        </w:tc>
        <w:tc>
          <w:tcPr>
            <w:tcW w:w="1415" w:type="dxa"/>
            <w:vMerge w:val="continue"/>
            <w:vAlign w:val="center"/>
          </w:tcPr>
          <w:p w14:paraId="7550A708">
            <w:pPr>
              <w:spacing w:line="400" w:lineRule="exact"/>
              <w:jc w:val="center"/>
              <w:rPr>
                <w:rFonts w:asciiTheme="majorEastAsia" w:hAnsiTheme="majorEastAsia" w:eastAsiaTheme="majorEastAsia" w:cstheme="majorEastAsia"/>
                <w:szCs w:val="21"/>
              </w:rPr>
            </w:pPr>
          </w:p>
        </w:tc>
        <w:tc>
          <w:tcPr>
            <w:tcW w:w="2042" w:type="dxa"/>
            <w:gridSpan w:val="3"/>
            <w:vAlign w:val="center"/>
          </w:tcPr>
          <w:p w14:paraId="7BA41048">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报价唯一</w:t>
            </w:r>
          </w:p>
        </w:tc>
        <w:tc>
          <w:tcPr>
            <w:tcW w:w="5475" w:type="dxa"/>
            <w:vAlign w:val="center"/>
          </w:tcPr>
          <w:p w14:paraId="46D1FA49">
            <w:pPr>
              <w:spacing w:line="4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只能有一个有效报价。</w:t>
            </w:r>
          </w:p>
        </w:tc>
      </w:tr>
      <w:tr w14:paraId="519B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20" w:type="dxa"/>
            <w:vMerge w:val="continue"/>
          </w:tcPr>
          <w:p w14:paraId="0A5F0BE4">
            <w:pPr>
              <w:spacing w:line="400" w:lineRule="exact"/>
              <w:rPr>
                <w:rFonts w:asciiTheme="majorEastAsia" w:hAnsiTheme="majorEastAsia" w:eastAsiaTheme="majorEastAsia" w:cstheme="majorEastAsia"/>
                <w:szCs w:val="21"/>
              </w:rPr>
            </w:pPr>
          </w:p>
        </w:tc>
        <w:tc>
          <w:tcPr>
            <w:tcW w:w="1415" w:type="dxa"/>
            <w:vMerge w:val="continue"/>
            <w:vAlign w:val="center"/>
          </w:tcPr>
          <w:p w14:paraId="4FFD0949">
            <w:pPr>
              <w:spacing w:line="400" w:lineRule="exact"/>
              <w:jc w:val="center"/>
              <w:rPr>
                <w:rFonts w:asciiTheme="majorEastAsia" w:hAnsiTheme="majorEastAsia" w:eastAsiaTheme="majorEastAsia" w:cstheme="majorEastAsia"/>
                <w:szCs w:val="21"/>
              </w:rPr>
            </w:pPr>
          </w:p>
        </w:tc>
        <w:tc>
          <w:tcPr>
            <w:tcW w:w="2042" w:type="dxa"/>
            <w:gridSpan w:val="3"/>
            <w:vAlign w:val="center"/>
          </w:tcPr>
          <w:p w14:paraId="73DA1059">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委托代理人</w:t>
            </w:r>
          </w:p>
        </w:tc>
        <w:tc>
          <w:tcPr>
            <w:tcW w:w="5475" w:type="dxa"/>
            <w:vAlign w:val="center"/>
          </w:tcPr>
          <w:p w14:paraId="24ED5079">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比选申请人法定代表人的委托代理人有法定代表人签署的授权委托书，且其授权委托书符合竞争性比选文件规定的格式。</w:t>
            </w:r>
          </w:p>
        </w:tc>
      </w:tr>
      <w:tr w14:paraId="3347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restart"/>
            <w:vAlign w:val="center"/>
          </w:tcPr>
          <w:p w14:paraId="4F87C2A3">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2.1.3</w:t>
            </w:r>
          </w:p>
        </w:tc>
        <w:tc>
          <w:tcPr>
            <w:tcW w:w="1415" w:type="dxa"/>
            <w:vMerge w:val="restart"/>
            <w:textDirection w:val="tbRlV"/>
            <w:vAlign w:val="center"/>
          </w:tcPr>
          <w:p w14:paraId="634D86A0">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响应性评审标准</w:t>
            </w:r>
          </w:p>
        </w:tc>
        <w:tc>
          <w:tcPr>
            <w:tcW w:w="2042" w:type="dxa"/>
            <w:gridSpan w:val="3"/>
            <w:vAlign w:val="center"/>
          </w:tcPr>
          <w:p w14:paraId="232A5B6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比选范围</w:t>
            </w:r>
          </w:p>
        </w:tc>
        <w:tc>
          <w:tcPr>
            <w:tcW w:w="5475" w:type="dxa"/>
          </w:tcPr>
          <w:p w14:paraId="1600D230">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符合第二章“比选申请人须知前附表”第1.3.1项规定</w:t>
            </w:r>
          </w:p>
        </w:tc>
      </w:tr>
      <w:tr w14:paraId="055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4EAC8DDF">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01C48664">
            <w:pPr>
              <w:spacing w:line="400" w:lineRule="exact"/>
              <w:ind w:left="113" w:right="113"/>
              <w:jc w:val="center"/>
              <w:rPr>
                <w:rFonts w:asciiTheme="majorEastAsia" w:hAnsiTheme="majorEastAsia" w:eastAsiaTheme="majorEastAsia" w:cstheme="majorEastAsia"/>
                <w:kern w:val="0"/>
                <w:szCs w:val="21"/>
              </w:rPr>
            </w:pPr>
          </w:p>
        </w:tc>
        <w:tc>
          <w:tcPr>
            <w:tcW w:w="2042" w:type="dxa"/>
            <w:gridSpan w:val="3"/>
            <w:vAlign w:val="center"/>
          </w:tcPr>
          <w:p w14:paraId="5024C826">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项目服务地点</w:t>
            </w:r>
          </w:p>
        </w:tc>
        <w:tc>
          <w:tcPr>
            <w:tcW w:w="5475" w:type="dxa"/>
          </w:tcPr>
          <w:p w14:paraId="4585F57C">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符合第二章“比选申请人须知前附表”第1.1.5项规定</w:t>
            </w:r>
          </w:p>
        </w:tc>
      </w:tr>
      <w:tr w14:paraId="77CF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A7F19A">
            <w:pPr>
              <w:spacing w:line="400" w:lineRule="exact"/>
              <w:jc w:val="center"/>
              <w:rPr>
                <w:rFonts w:asciiTheme="majorEastAsia" w:hAnsiTheme="majorEastAsia" w:eastAsiaTheme="majorEastAsia" w:cstheme="majorEastAsia"/>
                <w:szCs w:val="21"/>
              </w:rPr>
            </w:pPr>
          </w:p>
        </w:tc>
        <w:tc>
          <w:tcPr>
            <w:tcW w:w="1415" w:type="dxa"/>
            <w:vMerge w:val="continue"/>
          </w:tcPr>
          <w:p w14:paraId="340C0E2D">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5C8F339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服务期限</w:t>
            </w:r>
          </w:p>
        </w:tc>
        <w:tc>
          <w:tcPr>
            <w:tcW w:w="5475" w:type="dxa"/>
          </w:tcPr>
          <w:p w14:paraId="2283D8C8">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符合第二章“比选申请人须知前附表”第1.3.2项规定</w:t>
            </w:r>
          </w:p>
        </w:tc>
      </w:tr>
      <w:tr w14:paraId="242C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04810DD">
            <w:pPr>
              <w:spacing w:line="400" w:lineRule="exact"/>
              <w:jc w:val="center"/>
              <w:rPr>
                <w:rFonts w:asciiTheme="majorEastAsia" w:hAnsiTheme="majorEastAsia" w:eastAsiaTheme="majorEastAsia" w:cstheme="majorEastAsia"/>
                <w:szCs w:val="21"/>
              </w:rPr>
            </w:pPr>
          </w:p>
        </w:tc>
        <w:tc>
          <w:tcPr>
            <w:tcW w:w="1415" w:type="dxa"/>
            <w:vMerge w:val="continue"/>
          </w:tcPr>
          <w:p w14:paraId="41025033">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32C77387">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质量要求</w:t>
            </w:r>
          </w:p>
        </w:tc>
        <w:tc>
          <w:tcPr>
            <w:tcW w:w="5475" w:type="dxa"/>
          </w:tcPr>
          <w:p w14:paraId="00CA78DC">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符合第二章“比选申请人须知前附表”第1.3.3项规定</w:t>
            </w:r>
          </w:p>
        </w:tc>
      </w:tr>
      <w:tr w14:paraId="117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1DBEB6A">
            <w:pPr>
              <w:spacing w:line="400" w:lineRule="exact"/>
              <w:jc w:val="center"/>
              <w:rPr>
                <w:rFonts w:asciiTheme="majorEastAsia" w:hAnsiTheme="majorEastAsia" w:eastAsiaTheme="majorEastAsia" w:cstheme="majorEastAsia"/>
                <w:szCs w:val="21"/>
              </w:rPr>
            </w:pPr>
          </w:p>
        </w:tc>
        <w:tc>
          <w:tcPr>
            <w:tcW w:w="1415" w:type="dxa"/>
            <w:vMerge w:val="continue"/>
          </w:tcPr>
          <w:p w14:paraId="29F44569">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7A6DD6CA">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比选申请有效期</w:t>
            </w:r>
          </w:p>
        </w:tc>
        <w:tc>
          <w:tcPr>
            <w:tcW w:w="5475" w:type="dxa"/>
          </w:tcPr>
          <w:p w14:paraId="3AF6908C">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符合第二章“比选申请人须知前附表”第3.3.1项规定</w:t>
            </w:r>
          </w:p>
        </w:tc>
      </w:tr>
      <w:tr w14:paraId="5D43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820" w:type="dxa"/>
            <w:vMerge w:val="continue"/>
          </w:tcPr>
          <w:p w14:paraId="413FD35D">
            <w:pPr>
              <w:spacing w:line="400" w:lineRule="exact"/>
              <w:jc w:val="center"/>
              <w:rPr>
                <w:rFonts w:asciiTheme="majorEastAsia" w:hAnsiTheme="majorEastAsia" w:eastAsiaTheme="majorEastAsia" w:cstheme="majorEastAsia"/>
                <w:szCs w:val="21"/>
              </w:rPr>
            </w:pPr>
          </w:p>
        </w:tc>
        <w:tc>
          <w:tcPr>
            <w:tcW w:w="1415" w:type="dxa"/>
            <w:vMerge w:val="continue"/>
          </w:tcPr>
          <w:p w14:paraId="37720611">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3A079304">
            <w:pPr>
              <w:spacing w:line="400" w:lineRule="exact"/>
              <w:jc w:val="center"/>
              <w:rPr>
                <w:rFonts w:asciiTheme="majorEastAsia" w:hAnsiTheme="majorEastAsia" w:eastAsiaTheme="majorEastAsia" w:cstheme="majorEastAsia"/>
                <w:kern w:val="0"/>
                <w:szCs w:val="21"/>
              </w:rPr>
            </w:pPr>
            <w:r>
              <w:rPr>
                <w:rFonts w:hint="eastAsia" w:ascii="宋体" w:hAnsi="宋体" w:cs="宋体"/>
                <w:kern w:val="0"/>
              </w:rPr>
              <w:t>比选申请保证金</w:t>
            </w:r>
          </w:p>
        </w:tc>
        <w:tc>
          <w:tcPr>
            <w:tcW w:w="5475" w:type="dxa"/>
            <w:vAlign w:val="center"/>
          </w:tcPr>
          <w:p w14:paraId="0C52810C">
            <w:pPr>
              <w:adjustRightInd w:val="0"/>
              <w:snapToGrid w:val="0"/>
              <w:spacing w:line="400" w:lineRule="exact"/>
              <w:ind w:left="2" w:hanging="2" w:hangingChars="1"/>
              <w:rPr>
                <w:rFonts w:asciiTheme="majorEastAsia" w:hAnsiTheme="majorEastAsia" w:eastAsiaTheme="majorEastAsia" w:cstheme="majorEastAsia"/>
                <w:kern w:val="0"/>
                <w:szCs w:val="21"/>
              </w:rPr>
            </w:pPr>
            <w:r>
              <w:rPr>
                <w:rFonts w:hint="eastAsia" w:ascii="宋体" w:hAnsi="宋体" w:cs="宋体"/>
                <w:kern w:val="0"/>
              </w:rPr>
              <w:t>符合第二章“比选申请人须知前附表”第3.4款规定。</w:t>
            </w:r>
          </w:p>
        </w:tc>
      </w:tr>
      <w:tr w14:paraId="3D9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820" w:type="dxa"/>
            <w:vMerge w:val="continue"/>
          </w:tcPr>
          <w:p w14:paraId="798F7A29">
            <w:pPr>
              <w:spacing w:line="400" w:lineRule="exact"/>
              <w:jc w:val="center"/>
              <w:rPr>
                <w:rFonts w:asciiTheme="majorEastAsia" w:hAnsiTheme="majorEastAsia" w:eastAsiaTheme="majorEastAsia" w:cstheme="majorEastAsia"/>
                <w:szCs w:val="21"/>
              </w:rPr>
            </w:pPr>
          </w:p>
        </w:tc>
        <w:tc>
          <w:tcPr>
            <w:tcW w:w="1415" w:type="dxa"/>
            <w:vMerge w:val="continue"/>
          </w:tcPr>
          <w:p w14:paraId="6C07CC46">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00608D68">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权利义务</w:t>
            </w:r>
          </w:p>
        </w:tc>
        <w:tc>
          <w:tcPr>
            <w:tcW w:w="5475" w:type="dxa"/>
            <w:vAlign w:val="center"/>
          </w:tcPr>
          <w:p w14:paraId="6CA14C75">
            <w:pPr>
              <w:adjustRightInd w:val="0"/>
              <w:snapToGrid w:val="0"/>
              <w:spacing w:line="400" w:lineRule="exact"/>
              <w:ind w:left="2" w:hanging="2" w:hangingChars="1"/>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符合第四章“合同条款及格式”规定，比选申请文件不应附有比选人不能接受的条件</w:t>
            </w:r>
          </w:p>
        </w:tc>
      </w:tr>
      <w:tr w14:paraId="3852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820" w:type="dxa"/>
            <w:vMerge w:val="continue"/>
          </w:tcPr>
          <w:p w14:paraId="4732CD5C">
            <w:pPr>
              <w:spacing w:line="400" w:lineRule="exact"/>
              <w:jc w:val="center"/>
              <w:rPr>
                <w:rFonts w:asciiTheme="majorEastAsia" w:hAnsiTheme="majorEastAsia" w:eastAsiaTheme="majorEastAsia" w:cstheme="majorEastAsia"/>
                <w:szCs w:val="21"/>
              </w:rPr>
            </w:pPr>
          </w:p>
        </w:tc>
        <w:tc>
          <w:tcPr>
            <w:tcW w:w="1415" w:type="dxa"/>
            <w:vMerge w:val="continue"/>
          </w:tcPr>
          <w:p w14:paraId="056F9AEE">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1B4EDB9B">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技术标准和要求</w:t>
            </w:r>
          </w:p>
        </w:tc>
        <w:tc>
          <w:tcPr>
            <w:tcW w:w="5475" w:type="dxa"/>
            <w:vAlign w:val="center"/>
          </w:tcPr>
          <w:p w14:paraId="0B1EC6D9">
            <w:pPr>
              <w:adjustRightInd w:val="0"/>
              <w:snapToGrid w:val="0"/>
              <w:spacing w:line="400" w:lineRule="exact"/>
              <w:ind w:left="2" w:hanging="2" w:hangingChars="1"/>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符合第六章“技术标准和要求”的规定。</w:t>
            </w:r>
          </w:p>
        </w:tc>
      </w:tr>
      <w:tr w14:paraId="72F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0" w:type="dxa"/>
            <w:vMerge w:val="continue"/>
            <w:vAlign w:val="center"/>
          </w:tcPr>
          <w:p w14:paraId="7EFCB683">
            <w:pPr>
              <w:spacing w:line="400" w:lineRule="exact"/>
              <w:jc w:val="center"/>
              <w:rPr>
                <w:rFonts w:asciiTheme="majorEastAsia" w:hAnsiTheme="majorEastAsia" w:eastAsiaTheme="majorEastAsia" w:cstheme="majorEastAsia"/>
                <w:szCs w:val="21"/>
              </w:rPr>
            </w:pPr>
          </w:p>
        </w:tc>
        <w:tc>
          <w:tcPr>
            <w:tcW w:w="1415" w:type="dxa"/>
            <w:vMerge w:val="continue"/>
            <w:textDirection w:val="tbRlV"/>
            <w:vAlign w:val="center"/>
          </w:tcPr>
          <w:p w14:paraId="132F543E">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64A49337">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比选申请报价</w:t>
            </w:r>
          </w:p>
        </w:tc>
        <w:tc>
          <w:tcPr>
            <w:tcW w:w="5475" w:type="dxa"/>
            <w:vAlign w:val="center"/>
          </w:tcPr>
          <w:p w14:paraId="4342950C">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符合第二章比选申请人须知前附表第3.2项规定。</w:t>
            </w:r>
          </w:p>
        </w:tc>
      </w:tr>
      <w:tr w14:paraId="7957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0" w:type="dxa"/>
            <w:vMerge w:val="continue"/>
            <w:vAlign w:val="center"/>
          </w:tcPr>
          <w:p w14:paraId="254B6BA9">
            <w:pPr>
              <w:spacing w:line="400" w:lineRule="exact"/>
              <w:jc w:val="center"/>
              <w:rPr>
                <w:rFonts w:asciiTheme="majorEastAsia" w:hAnsiTheme="majorEastAsia" w:eastAsiaTheme="majorEastAsia" w:cstheme="majorEastAsia"/>
                <w:szCs w:val="21"/>
              </w:rPr>
            </w:pPr>
          </w:p>
        </w:tc>
        <w:tc>
          <w:tcPr>
            <w:tcW w:w="1415" w:type="dxa"/>
            <w:vMerge w:val="continue"/>
            <w:textDirection w:val="tbRlV"/>
            <w:vAlign w:val="center"/>
          </w:tcPr>
          <w:p w14:paraId="58246C44">
            <w:pPr>
              <w:spacing w:line="400" w:lineRule="exact"/>
              <w:ind w:left="113" w:right="113"/>
              <w:jc w:val="center"/>
              <w:rPr>
                <w:rFonts w:asciiTheme="majorEastAsia" w:hAnsiTheme="majorEastAsia" w:eastAsiaTheme="majorEastAsia" w:cstheme="majorEastAsia"/>
                <w:szCs w:val="21"/>
              </w:rPr>
            </w:pPr>
          </w:p>
        </w:tc>
        <w:tc>
          <w:tcPr>
            <w:tcW w:w="2042" w:type="dxa"/>
            <w:gridSpan w:val="3"/>
            <w:vAlign w:val="center"/>
          </w:tcPr>
          <w:p w14:paraId="1EDBB3E8">
            <w:pPr>
              <w:spacing w:line="400" w:lineRule="exact"/>
              <w:jc w:val="center"/>
              <w:rPr>
                <w:rFonts w:asciiTheme="majorEastAsia" w:hAnsiTheme="majorEastAsia" w:eastAsiaTheme="majorEastAsia" w:cstheme="majorEastAsia"/>
                <w:kern w:val="0"/>
                <w:szCs w:val="21"/>
              </w:rPr>
            </w:pPr>
            <w:r>
              <w:rPr>
                <w:rFonts w:ascii="宋体" w:hAnsi="宋体"/>
                <w:kern w:val="0"/>
              </w:rPr>
              <w:t>实质性要求</w:t>
            </w:r>
          </w:p>
        </w:tc>
        <w:tc>
          <w:tcPr>
            <w:tcW w:w="5475" w:type="dxa"/>
            <w:vAlign w:val="center"/>
          </w:tcPr>
          <w:p w14:paraId="0C43EA03">
            <w:pPr>
              <w:spacing w:line="400" w:lineRule="exact"/>
              <w:jc w:val="left"/>
              <w:rPr>
                <w:rFonts w:ascii="宋体" w:hAnsi="宋体"/>
                <w:kern w:val="0"/>
              </w:rPr>
            </w:pPr>
            <w:r>
              <w:rPr>
                <w:rFonts w:hint="eastAsia" w:ascii="宋体" w:hAnsi="宋体"/>
                <w:kern w:val="0"/>
              </w:rPr>
              <w:t>符合第二章“比选申请人须知”第1.4.3项规定。</w:t>
            </w:r>
          </w:p>
          <w:p w14:paraId="2C4A881B">
            <w:pPr>
              <w:spacing w:line="400" w:lineRule="exact"/>
              <w:jc w:val="left"/>
              <w:rPr>
                <w:rFonts w:ascii="宋体" w:hAnsi="宋体"/>
                <w:kern w:val="0"/>
              </w:rPr>
            </w:pPr>
            <w:r>
              <w:rPr>
                <w:rFonts w:hint="eastAsia" w:ascii="宋体" w:hAnsi="宋体"/>
                <w:kern w:val="0"/>
              </w:rPr>
              <w:t>本次比选申请不得有串通比选申请</w:t>
            </w:r>
            <w:r>
              <w:rPr>
                <w:rFonts w:ascii="宋体" w:hAnsi="宋体"/>
                <w:kern w:val="0"/>
              </w:rPr>
              <w:t>、弄虚作假等其他违反招投标相关法律、法规行为。</w:t>
            </w:r>
          </w:p>
          <w:p w14:paraId="44F5C062">
            <w:pPr>
              <w:adjustRightInd w:val="0"/>
              <w:snapToGrid w:val="0"/>
              <w:spacing w:line="400" w:lineRule="exact"/>
              <w:jc w:val="left"/>
              <w:rPr>
                <w:rFonts w:asciiTheme="majorEastAsia" w:hAnsiTheme="majorEastAsia" w:eastAsiaTheme="majorEastAsia" w:cstheme="majorEastAsia"/>
                <w:kern w:val="0"/>
                <w:szCs w:val="21"/>
              </w:rPr>
            </w:pPr>
            <w:r>
              <w:rPr>
                <w:rFonts w:hint="eastAsia" w:ascii="宋体" w:hAnsi="宋体" w:cs="宋体"/>
                <w:kern w:val="0"/>
              </w:rPr>
              <w:t>按评审委员会要求澄清、说明或补正。</w:t>
            </w:r>
          </w:p>
        </w:tc>
      </w:tr>
      <w:tr w14:paraId="6A48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gridSpan w:val="2"/>
            <w:vAlign w:val="center"/>
          </w:tcPr>
          <w:p w14:paraId="2AB23A4A">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2.2.1</w:t>
            </w:r>
          </w:p>
        </w:tc>
        <w:tc>
          <w:tcPr>
            <w:tcW w:w="2042" w:type="dxa"/>
            <w:gridSpan w:val="3"/>
            <w:vAlign w:val="center"/>
          </w:tcPr>
          <w:p w14:paraId="2EA9124B">
            <w:pPr>
              <w:tabs>
                <w:tab w:val="left" w:pos="1875"/>
              </w:tabs>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分值构成</w:t>
            </w:r>
          </w:p>
          <w:p w14:paraId="2B1AE92B">
            <w:pPr>
              <w:tabs>
                <w:tab w:val="left" w:pos="1875"/>
              </w:tabs>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(总分1OO分)</w:t>
            </w:r>
          </w:p>
        </w:tc>
        <w:tc>
          <w:tcPr>
            <w:tcW w:w="5475" w:type="dxa"/>
            <w:vAlign w:val="center"/>
          </w:tcPr>
          <w:p w14:paraId="118300A3">
            <w:pPr>
              <w:pStyle w:val="173"/>
              <w:snapToGrid w:val="0"/>
              <w:spacing w:line="4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（1）比选申请报价：25分；</w:t>
            </w:r>
          </w:p>
          <w:p w14:paraId="4E574186">
            <w:pPr>
              <w:pStyle w:val="173"/>
              <w:spacing w:line="4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（2）技术部分：</w:t>
            </w:r>
            <w:r>
              <w:rPr>
                <w:rFonts w:hint="eastAsia" w:asciiTheme="majorEastAsia" w:hAnsiTheme="majorEastAsia" w:eastAsiaTheme="majorEastAsia" w:cstheme="majorEastAsia"/>
                <w:bCs/>
                <w:szCs w:val="21"/>
              </w:rPr>
              <w:t>65</w:t>
            </w:r>
            <w:r>
              <w:rPr>
                <w:rFonts w:hint="eastAsia" w:asciiTheme="majorEastAsia" w:hAnsiTheme="majorEastAsia" w:eastAsiaTheme="majorEastAsia" w:cstheme="majorEastAsia"/>
                <w:szCs w:val="21"/>
              </w:rPr>
              <w:t>分；</w:t>
            </w:r>
          </w:p>
          <w:p w14:paraId="145E1C1D">
            <w:pPr>
              <w:pStyle w:val="173"/>
              <w:spacing w:line="4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（3）商务部分：</w:t>
            </w:r>
            <w:r>
              <w:rPr>
                <w:rFonts w:hint="eastAsia" w:asciiTheme="majorEastAsia" w:hAnsiTheme="majorEastAsia" w:eastAsiaTheme="majorEastAsia" w:cstheme="majorEastAsia"/>
                <w:bCs/>
                <w:szCs w:val="21"/>
              </w:rPr>
              <w:t>10</w:t>
            </w:r>
            <w:r>
              <w:rPr>
                <w:rFonts w:hint="eastAsia" w:asciiTheme="majorEastAsia" w:hAnsiTheme="majorEastAsia" w:eastAsiaTheme="majorEastAsia" w:cstheme="majorEastAsia"/>
                <w:szCs w:val="21"/>
              </w:rPr>
              <w:t>分。</w:t>
            </w:r>
          </w:p>
        </w:tc>
      </w:tr>
      <w:tr w14:paraId="0AF0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gridSpan w:val="2"/>
            <w:vAlign w:val="center"/>
          </w:tcPr>
          <w:p w14:paraId="036E95F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2.2.2</w:t>
            </w:r>
          </w:p>
        </w:tc>
        <w:tc>
          <w:tcPr>
            <w:tcW w:w="2042" w:type="dxa"/>
            <w:gridSpan w:val="3"/>
            <w:vAlign w:val="center"/>
          </w:tcPr>
          <w:p w14:paraId="33D27332">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评审基准价计算方法</w:t>
            </w:r>
          </w:p>
        </w:tc>
        <w:tc>
          <w:tcPr>
            <w:tcW w:w="5475" w:type="dxa"/>
            <w:vAlign w:val="center"/>
          </w:tcPr>
          <w:p w14:paraId="7C38528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w:t>
            </w:r>
          </w:p>
        </w:tc>
      </w:tr>
      <w:tr w14:paraId="7C04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5" w:type="dxa"/>
            <w:gridSpan w:val="2"/>
            <w:vAlign w:val="center"/>
          </w:tcPr>
          <w:p w14:paraId="4F94903F">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2.2.3</w:t>
            </w:r>
          </w:p>
        </w:tc>
        <w:tc>
          <w:tcPr>
            <w:tcW w:w="2042" w:type="dxa"/>
            <w:gridSpan w:val="3"/>
            <w:vAlign w:val="center"/>
          </w:tcPr>
          <w:p w14:paraId="466CC6AF">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比选申请报价的偏差率计算公式</w:t>
            </w:r>
          </w:p>
        </w:tc>
        <w:tc>
          <w:tcPr>
            <w:tcW w:w="5475" w:type="dxa"/>
            <w:vAlign w:val="center"/>
          </w:tcPr>
          <w:p w14:paraId="72DF1626">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14:paraId="2216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45A1DE9">
            <w:pPr>
              <w:snapToGrid w:val="0"/>
              <w:spacing w:line="400" w:lineRule="exact"/>
              <w:ind w:left="105" w:hanging="105" w:hangingChars="5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14:paraId="3DF009E5">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415" w:type="dxa"/>
            <w:vAlign w:val="center"/>
          </w:tcPr>
          <w:p w14:paraId="7695B7EA">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比选申请报价评分标准</w:t>
            </w:r>
          </w:p>
          <w:p w14:paraId="2EFF5597">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（A）</w:t>
            </w:r>
          </w:p>
        </w:tc>
        <w:tc>
          <w:tcPr>
            <w:tcW w:w="2042" w:type="dxa"/>
            <w:gridSpan w:val="3"/>
            <w:vAlign w:val="center"/>
          </w:tcPr>
          <w:p w14:paraId="166A6E51">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包干含税比选申请总报价</w:t>
            </w:r>
          </w:p>
          <w:p w14:paraId="5C7E2E88">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(25分)</w:t>
            </w:r>
          </w:p>
        </w:tc>
        <w:tc>
          <w:tcPr>
            <w:tcW w:w="5475" w:type="dxa"/>
          </w:tcPr>
          <w:p w14:paraId="4ECD227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有效的包干含税比选申请总报价中的最低价为评审基准价，其价格分为满分。其他比选申请人的价格分统一按照下列公式计算：</w:t>
            </w:r>
          </w:p>
          <w:p w14:paraId="50CD77D1">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包干含税比选申请总报价得分＝（评审基准价/包干含税比选申请总报价）×25分</w:t>
            </w:r>
          </w:p>
          <w:p w14:paraId="31E696F6">
            <w:pPr>
              <w:spacing w:line="400" w:lineRule="exact"/>
              <w:ind w:firstLine="420" w:firstLineChars="200"/>
              <w:jc w:val="left"/>
              <w:rPr>
                <w:rFonts w:asciiTheme="majorEastAsia" w:hAnsiTheme="majorEastAsia" w:eastAsiaTheme="majorEastAsia" w:cstheme="majorEastAsia"/>
                <w:szCs w:val="21"/>
              </w:rPr>
            </w:pPr>
            <w:r>
              <w:rPr>
                <w:rFonts w:hint="eastAsia" w:ascii="宋体" w:hAnsi="宋体" w:cs="宋体"/>
                <w:color w:val="000000"/>
                <w:szCs w:val="21"/>
              </w:rPr>
              <w:t>注：包干比选申请总报价得分最终结果取小数点后两位，第三位四舍五入。</w:t>
            </w:r>
          </w:p>
        </w:tc>
      </w:tr>
      <w:tr w14:paraId="55F9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20" w:type="dxa"/>
            <w:vMerge w:val="restart"/>
            <w:vAlign w:val="center"/>
          </w:tcPr>
          <w:p w14:paraId="0009F32F">
            <w:pPr>
              <w:snapToGrid w:val="0"/>
              <w:spacing w:line="400" w:lineRule="exact"/>
              <w:ind w:left="105" w:hanging="105" w:hangingChars="5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14:paraId="413D64FB">
            <w:pPr>
              <w:snapToGrid w:val="0"/>
              <w:spacing w:line="400" w:lineRule="exact"/>
              <w:ind w:left="105" w:hanging="105" w:hangingChars="5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p>
        </w:tc>
        <w:tc>
          <w:tcPr>
            <w:tcW w:w="1415" w:type="dxa"/>
            <w:vMerge w:val="restart"/>
            <w:vAlign w:val="center"/>
          </w:tcPr>
          <w:p w14:paraId="237E0CE6">
            <w:pPr>
              <w:spacing w:line="400" w:lineRule="exact"/>
              <w:ind w:firstLine="28"/>
              <w:jc w:val="center"/>
              <w:rPr>
                <w:rFonts w:ascii="宋体" w:hAnsi="宋体" w:cs="宋体"/>
                <w:color w:val="000000"/>
                <w:szCs w:val="21"/>
              </w:rPr>
            </w:pPr>
            <w:r>
              <w:rPr>
                <w:rFonts w:hint="eastAsia" w:ascii="宋体" w:hAnsi="宋体" w:cs="宋体"/>
                <w:color w:val="000000"/>
                <w:szCs w:val="21"/>
              </w:rPr>
              <w:t>技术部分</w:t>
            </w:r>
          </w:p>
          <w:p w14:paraId="2F8621C6">
            <w:pPr>
              <w:snapToGrid w:val="0"/>
              <w:spacing w:line="400" w:lineRule="exact"/>
              <w:jc w:val="center"/>
              <w:rPr>
                <w:rFonts w:asciiTheme="majorEastAsia" w:hAnsiTheme="majorEastAsia" w:eastAsiaTheme="majorEastAsia" w:cstheme="majorEastAsia"/>
                <w:kern w:val="0"/>
                <w:szCs w:val="21"/>
              </w:rPr>
            </w:pPr>
            <w:r>
              <w:rPr>
                <w:rFonts w:hint="eastAsia" w:ascii="宋体" w:hAnsi="宋体" w:cs="宋体"/>
                <w:color w:val="000000"/>
                <w:szCs w:val="21"/>
              </w:rPr>
              <w:t>（B）</w:t>
            </w:r>
          </w:p>
        </w:tc>
        <w:tc>
          <w:tcPr>
            <w:tcW w:w="514" w:type="dxa"/>
            <w:vMerge w:val="restart"/>
            <w:vAlign w:val="center"/>
          </w:tcPr>
          <w:p w14:paraId="3835E94E">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维修能力17分</w:t>
            </w:r>
          </w:p>
        </w:tc>
        <w:tc>
          <w:tcPr>
            <w:tcW w:w="1528" w:type="dxa"/>
            <w:gridSpan w:val="2"/>
            <w:vAlign w:val="center"/>
          </w:tcPr>
          <w:p w14:paraId="20CFF288">
            <w:pPr>
              <w:spacing w:line="400" w:lineRule="exact"/>
              <w:ind w:firstLine="28"/>
              <w:jc w:val="center"/>
              <w:rPr>
                <w:rFonts w:ascii="宋体" w:hAnsi="宋体" w:cs="宋体"/>
                <w:color w:val="000000"/>
                <w:szCs w:val="21"/>
              </w:rPr>
            </w:pPr>
            <w:r>
              <w:rPr>
                <w:rFonts w:hint="eastAsia" w:ascii="宋体" w:hAnsi="宋体" w:cs="宋体"/>
                <w:color w:val="000000"/>
                <w:szCs w:val="21"/>
              </w:rPr>
              <w:t>更换零部件及备件保障</w:t>
            </w:r>
          </w:p>
          <w:p w14:paraId="2ED318A2">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（8分）</w:t>
            </w:r>
          </w:p>
        </w:tc>
        <w:tc>
          <w:tcPr>
            <w:tcW w:w="5475" w:type="dxa"/>
          </w:tcPr>
          <w:p w14:paraId="57BDCC23">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1.使用取得国家认可合格证书的通用零部件，且需要更换的零部件，在维修更换前建立入库索证和台账，做到所有零部件可溯源，得4分。</w:t>
            </w:r>
          </w:p>
          <w:p w14:paraId="7ED325E7">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小区所涉及电梯的通用部件（除曳引机、轿厢、井道以外所有电子、电气、机械零部件和钢丝绳等）备货。备货2套以下不得分，2套及以上得分，以备货套数为20套及以上为评审基准，得4分满分，其他比选申请人得分计算公式为：备货保障得分=（备货套数数量／评审基准）×4分。</w:t>
            </w:r>
          </w:p>
          <w:p w14:paraId="40F566B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注：1.需提供维修零部件更换措施，如如何进行索证并建立台账，溯源方法等。2.根据现场踏勘情况，制定备货计划，形成实施方案并提供。</w:t>
            </w:r>
          </w:p>
          <w:p w14:paraId="71E19B9D">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以上内容均纳入合同约定范围。</w:t>
            </w:r>
          </w:p>
        </w:tc>
      </w:tr>
      <w:tr w14:paraId="6933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12BA4A29">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02F23274">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7DE07795">
            <w:pPr>
              <w:spacing w:line="400" w:lineRule="exact"/>
              <w:jc w:val="center"/>
              <w:rPr>
                <w:rFonts w:asciiTheme="majorEastAsia" w:hAnsiTheme="majorEastAsia" w:eastAsiaTheme="majorEastAsia" w:cstheme="majorEastAsia"/>
              </w:rPr>
            </w:pPr>
          </w:p>
        </w:tc>
        <w:tc>
          <w:tcPr>
            <w:tcW w:w="1528" w:type="dxa"/>
            <w:gridSpan w:val="2"/>
            <w:vAlign w:val="center"/>
          </w:tcPr>
          <w:p w14:paraId="3C95C431">
            <w:pPr>
              <w:spacing w:line="400" w:lineRule="exact"/>
              <w:ind w:firstLine="28"/>
              <w:jc w:val="center"/>
              <w:rPr>
                <w:rFonts w:ascii="宋体" w:hAnsi="宋体" w:cs="宋体"/>
                <w:color w:val="000000"/>
                <w:szCs w:val="21"/>
              </w:rPr>
            </w:pPr>
            <w:r>
              <w:rPr>
                <w:rFonts w:hint="eastAsia" w:ascii="宋体" w:hAnsi="宋体" w:cs="宋体"/>
                <w:color w:val="000000"/>
                <w:szCs w:val="21"/>
              </w:rPr>
              <w:t>一般维修</w:t>
            </w:r>
          </w:p>
          <w:p w14:paraId="214B3912">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（4分）</w:t>
            </w:r>
          </w:p>
        </w:tc>
        <w:tc>
          <w:tcPr>
            <w:tcW w:w="5475" w:type="dxa"/>
          </w:tcPr>
          <w:p w14:paraId="7BF2A957">
            <w:pPr>
              <w:spacing w:line="400" w:lineRule="exact"/>
              <w:ind w:firstLine="420" w:firstLineChars="200"/>
              <w:rPr>
                <w:rFonts w:ascii="宋体" w:hAnsi="宋体" w:cs="宋体"/>
                <w:color w:val="000000"/>
                <w:szCs w:val="21"/>
              </w:rPr>
            </w:pPr>
            <w:r>
              <w:rPr>
                <w:rFonts w:hint="eastAsia" w:ascii="宋体" w:hAnsi="宋体" w:cs="宋体"/>
                <w:color w:val="000000"/>
                <w:szCs w:val="21"/>
              </w:rPr>
              <w:t>响应2小时内包干修复，恢复运行得4分；</w:t>
            </w:r>
          </w:p>
          <w:p w14:paraId="09719D6A">
            <w:pPr>
              <w:spacing w:line="400" w:lineRule="exact"/>
              <w:ind w:firstLine="420" w:firstLineChars="200"/>
              <w:rPr>
                <w:rFonts w:ascii="宋体" w:hAnsi="宋体" w:cs="宋体"/>
                <w:color w:val="000000"/>
                <w:szCs w:val="21"/>
              </w:rPr>
            </w:pPr>
            <w:r>
              <w:rPr>
                <w:rFonts w:hint="eastAsia" w:ascii="宋体" w:hAnsi="宋体" w:cs="宋体"/>
                <w:color w:val="000000"/>
                <w:szCs w:val="21"/>
              </w:rPr>
              <w:t>响应4小时内包干修复，恢复运行得2分，超过4小时不得分；</w:t>
            </w:r>
          </w:p>
          <w:p w14:paraId="06D3A7E2">
            <w:pPr>
              <w:pStyle w:val="39"/>
              <w:spacing w:after="0" w:line="400" w:lineRule="exact"/>
              <w:ind w:left="0" w:leftChars="0" w:firstLine="420" w:firstLineChars="200"/>
              <w:rPr>
                <w:rFonts w:asciiTheme="majorEastAsia" w:hAnsiTheme="majorEastAsia" w:eastAsiaTheme="majorEastAsia" w:cstheme="majorEastAsia"/>
                <w:sz w:val="21"/>
                <w:szCs w:val="21"/>
              </w:rPr>
            </w:pPr>
            <w:r>
              <w:rPr>
                <w:rFonts w:hint="eastAsia" w:ascii="宋体" w:hAnsi="宋体" w:cs="宋体"/>
                <w:color w:val="000000"/>
                <w:sz w:val="21"/>
                <w:szCs w:val="21"/>
              </w:rPr>
              <w:t>注：提供承诺函并加盖比选申请人单位公章，格式自拟。以上内容均纳入合同约定范围。</w:t>
            </w:r>
          </w:p>
        </w:tc>
      </w:tr>
      <w:tr w14:paraId="4B4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6B5F8FC6">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4D165B59">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40D23605">
            <w:pPr>
              <w:spacing w:line="400" w:lineRule="exact"/>
              <w:jc w:val="center"/>
              <w:rPr>
                <w:rFonts w:asciiTheme="majorEastAsia" w:hAnsiTheme="majorEastAsia" w:eastAsiaTheme="majorEastAsia" w:cstheme="majorEastAsia"/>
              </w:rPr>
            </w:pPr>
          </w:p>
        </w:tc>
        <w:tc>
          <w:tcPr>
            <w:tcW w:w="1528" w:type="dxa"/>
            <w:gridSpan w:val="2"/>
            <w:vAlign w:val="center"/>
          </w:tcPr>
          <w:p w14:paraId="01EEBF60">
            <w:pPr>
              <w:spacing w:line="400" w:lineRule="exact"/>
              <w:ind w:firstLine="28"/>
              <w:jc w:val="center"/>
              <w:rPr>
                <w:rFonts w:ascii="宋体" w:hAnsi="宋体" w:cs="宋体"/>
                <w:color w:val="000000"/>
                <w:szCs w:val="21"/>
              </w:rPr>
            </w:pPr>
            <w:r>
              <w:rPr>
                <w:rFonts w:hint="eastAsia" w:ascii="宋体" w:hAnsi="宋体" w:cs="宋体"/>
                <w:color w:val="000000"/>
                <w:szCs w:val="21"/>
              </w:rPr>
              <w:t>重大维修</w:t>
            </w:r>
          </w:p>
          <w:p w14:paraId="573E8A7A">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（5分）</w:t>
            </w:r>
          </w:p>
        </w:tc>
        <w:tc>
          <w:tcPr>
            <w:tcW w:w="5475" w:type="dxa"/>
          </w:tcPr>
          <w:p w14:paraId="22F81CC5">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响应24小时内包干修复，恢复运行得5分；</w:t>
            </w:r>
          </w:p>
          <w:p w14:paraId="387C5B6D">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响应48小时内包干修复，恢复运行得3分；</w:t>
            </w:r>
          </w:p>
          <w:p w14:paraId="07EBACDD">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响应72小时内包干修复，恢复运行得1分，超过72小时不得分；</w:t>
            </w:r>
          </w:p>
          <w:p w14:paraId="1580DDB3">
            <w:pPr>
              <w:pStyle w:val="39"/>
              <w:spacing w:after="0" w:line="400" w:lineRule="exact"/>
              <w:ind w:left="0" w:leftChars="0" w:firstLine="420" w:firstLineChars="200"/>
              <w:jc w:val="left"/>
              <w:rPr>
                <w:rFonts w:asciiTheme="majorEastAsia" w:hAnsiTheme="majorEastAsia" w:eastAsiaTheme="majorEastAsia" w:cstheme="majorEastAsia"/>
                <w:sz w:val="21"/>
                <w:szCs w:val="21"/>
              </w:rPr>
            </w:pPr>
            <w:r>
              <w:rPr>
                <w:rFonts w:hint="eastAsia" w:ascii="宋体" w:hAnsi="宋体" w:cs="宋体"/>
                <w:color w:val="000000"/>
                <w:sz w:val="21"/>
                <w:szCs w:val="21"/>
              </w:rPr>
              <w:t>注：提供承诺函并加盖比选申请人单位公章，格式自拟。以上内容均纳入合同约定范围。</w:t>
            </w:r>
          </w:p>
        </w:tc>
      </w:tr>
      <w:tr w14:paraId="492D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697B59CC">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01A00F24">
            <w:pPr>
              <w:snapToGrid w:val="0"/>
              <w:spacing w:line="400" w:lineRule="exact"/>
              <w:jc w:val="center"/>
              <w:rPr>
                <w:rFonts w:asciiTheme="majorEastAsia" w:hAnsiTheme="majorEastAsia" w:eastAsiaTheme="majorEastAsia" w:cstheme="majorEastAsia"/>
                <w:kern w:val="0"/>
                <w:szCs w:val="21"/>
              </w:rPr>
            </w:pPr>
          </w:p>
        </w:tc>
        <w:tc>
          <w:tcPr>
            <w:tcW w:w="514" w:type="dxa"/>
            <w:vMerge w:val="restart"/>
            <w:vAlign w:val="center"/>
          </w:tcPr>
          <w:p w14:paraId="5EC2A218">
            <w:pPr>
              <w:spacing w:line="40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技术保障28分</w:t>
            </w:r>
          </w:p>
        </w:tc>
        <w:tc>
          <w:tcPr>
            <w:tcW w:w="1528" w:type="dxa"/>
            <w:gridSpan w:val="2"/>
            <w:vAlign w:val="center"/>
          </w:tcPr>
          <w:p w14:paraId="6B4DFE0D">
            <w:pPr>
              <w:spacing w:line="400" w:lineRule="exact"/>
              <w:jc w:val="left"/>
              <w:rPr>
                <w:rFonts w:ascii="宋体" w:hAnsi="宋体" w:cs="宋体"/>
                <w:color w:val="000000"/>
                <w:szCs w:val="21"/>
              </w:rPr>
            </w:pPr>
            <w:r>
              <w:rPr>
                <w:rFonts w:hint="eastAsia" w:ascii="宋体" w:hAnsi="宋体" w:cs="宋体"/>
                <w:color w:val="000000"/>
                <w:szCs w:val="21"/>
              </w:rPr>
              <w:t>技术服务指标</w:t>
            </w:r>
          </w:p>
          <w:p w14:paraId="37871E6B">
            <w:pPr>
              <w:spacing w:line="400" w:lineRule="exact"/>
              <w:jc w:val="left"/>
              <w:rPr>
                <w:rFonts w:ascii="宋体" w:hAnsi="宋体" w:cs="宋体"/>
                <w:color w:val="000000"/>
                <w:szCs w:val="21"/>
              </w:rPr>
            </w:pPr>
            <w:r>
              <w:rPr>
                <w:rFonts w:hint="eastAsia" w:ascii="宋体" w:hAnsi="宋体" w:cs="宋体"/>
                <w:color w:val="000000"/>
                <w:szCs w:val="21"/>
              </w:rPr>
              <w:t>（3分）</w:t>
            </w:r>
          </w:p>
        </w:tc>
        <w:tc>
          <w:tcPr>
            <w:tcW w:w="5475" w:type="dxa"/>
          </w:tcPr>
          <w:p w14:paraId="4021E5B2">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响应按照《电梯、自动扶梯和自动人行道运行服务规范》（GB/T34146-2017）的服务指标要求进行管理和维修服务，得3分；否则不得分。</w:t>
            </w:r>
          </w:p>
          <w:p w14:paraId="53C9473F">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注：提供承诺函并加盖比选申请人单位公章，格式自拟。</w:t>
            </w:r>
          </w:p>
        </w:tc>
      </w:tr>
      <w:tr w14:paraId="0D17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5CAE99D5">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1D14ACF4">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455A1E26">
            <w:pPr>
              <w:spacing w:line="400" w:lineRule="exact"/>
              <w:jc w:val="center"/>
              <w:rPr>
                <w:rFonts w:asciiTheme="majorEastAsia" w:hAnsiTheme="majorEastAsia" w:eastAsiaTheme="majorEastAsia" w:cstheme="majorEastAsia"/>
              </w:rPr>
            </w:pPr>
          </w:p>
        </w:tc>
        <w:tc>
          <w:tcPr>
            <w:tcW w:w="1528" w:type="dxa"/>
            <w:gridSpan w:val="2"/>
            <w:vAlign w:val="center"/>
          </w:tcPr>
          <w:p w14:paraId="0152E9C7">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技术人员能力水平（3分）</w:t>
            </w:r>
          </w:p>
        </w:tc>
        <w:tc>
          <w:tcPr>
            <w:tcW w:w="5475" w:type="dxa"/>
          </w:tcPr>
          <w:p w14:paraId="5EC05BD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机械和电气类高级工程师：2人（含2人）以上得1分；</w:t>
            </w:r>
          </w:p>
          <w:p w14:paraId="6CB6AD49">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机械和电气类中级工程师：3人（含3人）以上得1分；</w:t>
            </w:r>
          </w:p>
          <w:p w14:paraId="15BFAC39">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电气和机械专业技术人员8人（含8人）以上得1分。</w:t>
            </w:r>
          </w:p>
          <w:p w14:paraId="59FAA638">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以上人员均需提供在本单位的社保证明，并签订一年以上全职合同。</w:t>
            </w:r>
          </w:p>
          <w:p w14:paraId="0B1EEF3E">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注：1.提供人员清单；2.提供人员证书复印件并加盖比选申请人公章；3.提供比选申请人为其人员缴纳的2025年3月至2025年8月社保证明复印件。</w:t>
            </w:r>
          </w:p>
        </w:tc>
      </w:tr>
      <w:tr w14:paraId="5AEF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66817514">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65742CD4">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6365E4BF">
            <w:pPr>
              <w:spacing w:line="400" w:lineRule="exact"/>
              <w:jc w:val="center"/>
              <w:rPr>
                <w:rFonts w:asciiTheme="majorEastAsia" w:hAnsiTheme="majorEastAsia" w:eastAsiaTheme="majorEastAsia" w:cstheme="majorEastAsia"/>
              </w:rPr>
            </w:pPr>
          </w:p>
        </w:tc>
        <w:tc>
          <w:tcPr>
            <w:tcW w:w="1528" w:type="dxa"/>
            <w:gridSpan w:val="2"/>
            <w:vAlign w:val="center"/>
          </w:tcPr>
          <w:p w14:paraId="61561414">
            <w:pPr>
              <w:spacing w:line="400" w:lineRule="exact"/>
              <w:ind w:firstLine="28"/>
              <w:jc w:val="center"/>
              <w:rPr>
                <w:rFonts w:ascii="宋体" w:hAnsi="宋体" w:cs="宋体"/>
                <w:color w:val="000000"/>
                <w:szCs w:val="21"/>
              </w:rPr>
            </w:pPr>
            <w:r>
              <w:rPr>
                <w:rFonts w:hint="eastAsia" w:ascii="宋体" w:hAnsi="宋体" w:cs="宋体"/>
                <w:color w:val="000000"/>
                <w:szCs w:val="21"/>
              </w:rPr>
              <w:t>小区常驻技工人数</w:t>
            </w:r>
          </w:p>
          <w:p w14:paraId="478CAAC4">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（4分）</w:t>
            </w:r>
          </w:p>
        </w:tc>
        <w:tc>
          <w:tcPr>
            <w:tcW w:w="5475" w:type="dxa"/>
          </w:tcPr>
          <w:p w14:paraId="4EB6C30E">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不少于10人（包含10人）：得4分；不少于8人（包含8人）：得3分；不少于6人（包含6人）：得2分。</w:t>
            </w:r>
          </w:p>
          <w:p w14:paraId="77B6BD11">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注：提供承诺函并加盖比选申请人单位公章，格式自拟。</w:t>
            </w:r>
          </w:p>
        </w:tc>
      </w:tr>
      <w:tr w14:paraId="715E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20" w:type="dxa"/>
            <w:vMerge w:val="continue"/>
            <w:vAlign w:val="center"/>
          </w:tcPr>
          <w:p w14:paraId="1BF5899A">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6EFBC5F2">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4E714454">
            <w:pPr>
              <w:spacing w:line="400" w:lineRule="exact"/>
              <w:jc w:val="center"/>
              <w:rPr>
                <w:rFonts w:asciiTheme="majorEastAsia" w:hAnsiTheme="majorEastAsia" w:eastAsiaTheme="majorEastAsia" w:cstheme="majorEastAsia"/>
              </w:rPr>
            </w:pPr>
          </w:p>
        </w:tc>
        <w:tc>
          <w:tcPr>
            <w:tcW w:w="1528" w:type="dxa"/>
            <w:gridSpan w:val="2"/>
            <w:vAlign w:val="center"/>
          </w:tcPr>
          <w:p w14:paraId="5B966357">
            <w:pPr>
              <w:spacing w:line="400" w:lineRule="exact"/>
              <w:ind w:firstLine="28"/>
              <w:jc w:val="center"/>
              <w:rPr>
                <w:rFonts w:asciiTheme="majorEastAsia" w:hAnsiTheme="majorEastAsia" w:eastAsiaTheme="majorEastAsia" w:cstheme="majorEastAsia"/>
              </w:rPr>
            </w:pPr>
            <w:r>
              <w:rPr>
                <w:rFonts w:hint="eastAsia" w:ascii="宋体" w:hAnsi="宋体" w:cs="宋体"/>
                <w:color w:val="000000"/>
                <w:szCs w:val="21"/>
              </w:rPr>
              <w:t>顺应行业发展要求，采用新技术加强电梯运行安全管理（9分）</w:t>
            </w:r>
          </w:p>
        </w:tc>
        <w:tc>
          <w:tcPr>
            <w:tcW w:w="5475" w:type="dxa"/>
          </w:tcPr>
          <w:p w14:paraId="0B032BB2">
            <w:pPr>
              <w:pStyle w:val="39"/>
              <w:spacing w:after="0" w:line="400" w:lineRule="exact"/>
              <w:ind w:left="0" w:leftChars="0" w:firstLine="420" w:firstLineChars="200"/>
              <w:jc w:val="left"/>
              <w:rPr>
                <w:rFonts w:ascii="宋体" w:hAnsi="宋体" w:cs="宋体"/>
                <w:color w:val="000000"/>
                <w:sz w:val="21"/>
                <w:szCs w:val="21"/>
              </w:rPr>
            </w:pPr>
            <w:r>
              <w:rPr>
                <w:rFonts w:ascii="宋体" w:hAnsi="宋体" w:cs="宋体"/>
                <w:color w:val="000000"/>
                <w:sz w:val="21"/>
                <w:szCs w:val="21"/>
              </w:rPr>
              <w:t>1.电梯企业提供带摄像功能的监测电梯运行物联网系</w:t>
            </w:r>
            <w:r>
              <w:rPr>
                <w:rFonts w:hint="eastAsia" w:ascii="宋体" w:hAnsi="宋体" w:cs="宋体"/>
                <w:color w:val="000000"/>
                <w:sz w:val="21"/>
                <w:szCs w:val="21"/>
              </w:rPr>
              <w:t>统用于电梯维护管理；</w:t>
            </w:r>
          </w:p>
          <w:p w14:paraId="38051E9A">
            <w:pPr>
              <w:pStyle w:val="39"/>
              <w:spacing w:after="0" w:line="400" w:lineRule="exact"/>
              <w:ind w:left="0" w:leftChars="0" w:firstLine="420" w:firstLineChars="200"/>
              <w:jc w:val="left"/>
              <w:rPr>
                <w:rFonts w:ascii="宋体" w:hAnsi="宋体" w:cs="宋体"/>
                <w:color w:val="000000"/>
                <w:sz w:val="21"/>
                <w:szCs w:val="21"/>
              </w:rPr>
            </w:pPr>
            <w:r>
              <w:rPr>
                <w:rFonts w:ascii="宋体" w:hAnsi="宋体" w:cs="宋体"/>
                <w:color w:val="000000"/>
                <w:sz w:val="21"/>
                <w:szCs w:val="21"/>
              </w:rPr>
              <w:t>2.且该系统应取得国家级电梯质检中心出具的安全评价报告；</w:t>
            </w:r>
          </w:p>
          <w:p w14:paraId="0CCBF5FA">
            <w:pPr>
              <w:pStyle w:val="39"/>
              <w:spacing w:after="0" w:line="400" w:lineRule="exact"/>
              <w:ind w:left="0" w:leftChars="0" w:firstLine="420" w:firstLineChars="200"/>
              <w:jc w:val="left"/>
              <w:rPr>
                <w:rFonts w:ascii="宋体" w:hAnsi="宋体" w:cs="宋体"/>
                <w:color w:val="000000"/>
                <w:sz w:val="21"/>
                <w:szCs w:val="21"/>
              </w:rPr>
            </w:pPr>
            <w:r>
              <w:rPr>
                <w:rFonts w:ascii="宋体" w:hAnsi="宋体" w:cs="宋体"/>
                <w:color w:val="000000"/>
                <w:sz w:val="21"/>
                <w:szCs w:val="21"/>
              </w:rPr>
              <w:t>3.承诺进驻小区6个月内免费安装（需附承诺书，并纳入合同约定范围），并承诺与比选人指定的信息平台进行数据共享。</w:t>
            </w:r>
          </w:p>
          <w:p w14:paraId="6DC9E0EC">
            <w:pPr>
              <w:pStyle w:val="39"/>
              <w:spacing w:after="0" w:line="400" w:lineRule="exact"/>
              <w:ind w:left="0" w:leftChars="0" w:firstLine="420" w:firstLineChars="200"/>
              <w:jc w:val="left"/>
              <w:rPr>
                <w:rFonts w:ascii="宋体" w:hAnsi="宋体" w:cs="宋体"/>
                <w:color w:val="000000"/>
                <w:sz w:val="21"/>
                <w:szCs w:val="21"/>
              </w:rPr>
            </w:pPr>
            <w:r>
              <w:rPr>
                <w:rFonts w:hint="eastAsia" w:ascii="宋体" w:hAnsi="宋体" w:cs="宋体"/>
                <w:color w:val="000000"/>
                <w:sz w:val="21"/>
                <w:szCs w:val="21"/>
              </w:rPr>
              <w:t>同时满足上述</w:t>
            </w:r>
            <w:r>
              <w:rPr>
                <w:rFonts w:ascii="宋体" w:hAnsi="宋体" w:cs="宋体"/>
                <w:color w:val="000000"/>
                <w:sz w:val="21"/>
                <w:szCs w:val="21"/>
              </w:rPr>
              <w:t>3项得9分，否则不得分。</w:t>
            </w:r>
          </w:p>
          <w:p w14:paraId="44070C12">
            <w:pPr>
              <w:pStyle w:val="39"/>
              <w:spacing w:after="0" w:line="400" w:lineRule="exact"/>
              <w:ind w:left="0" w:leftChars="0" w:firstLine="420" w:firstLineChars="200"/>
              <w:rPr>
                <w:rFonts w:ascii="宋体" w:hAnsi="宋体" w:cs="宋体"/>
                <w:color w:val="000000"/>
                <w:sz w:val="21"/>
                <w:szCs w:val="21"/>
              </w:rPr>
            </w:pPr>
            <w:r>
              <w:rPr>
                <w:rFonts w:hint="eastAsia" w:ascii="宋体" w:hAnsi="宋体" w:cs="宋体"/>
                <w:color w:val="000000"/>
                <w:sz w:val="21"/>
                <w:szCs w:val="21"/>
              </w:rPr>
              <w:t>注：1.提供物联网系统对应的的提供国家级电梯质检中心出具的安全评价报告复印件；2.提供承诺函并加盖比选申请人单位公章，格式自拟。</w:t>
            </w:r>
          </w:p>
        </w:tc>
      </w:tr>
      <w:tr w14:paraId="2A92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086C3271">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406CDF83">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0CD4FDB8">
            <w:pPr>
              <w:spacing w:line="400" w:lineRule="exact"/>
              <w:jc w:val="center"/>
              <w:rPr>
                <w:rFonts w:asciiTheme="majorEastAsia" w:hAnsiTheme="majorEastAsia" w:eastAsiaTheme="majorEastAsia" w:cstheme="majorEastAsia"/>
              </w:rPr>
            </w:pPr>
          </w:p>
        </w:tc>
        <w:tc>
          <w:tcPr>
            <w:tcW w:w="1528" w:type="dxa"/>
            <w:gridSpan w:val="2"/>
            <w:vAlign w:val="center"/>
          </w:tcPr>
          <w:p w14:paraId="21EEE4E8">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制定完备、合理电梯包干维护保养工作计划（9分）</w:t>
            </w:r>
          </w:p>
        </w:tc>
        <w:tc>
          <w:tcPr>
            <w:tcW w:w="5475" w:type="dxa"/>
          </w:tcPr>
          <w:p w14:paraId="447087C5">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按照相关法律、标准规范以及电梯使用维护保养说明书的要求，结合电梯实际情况制定维护保养方案，制定的方案要素齐全，包含维保周期、本项目负责人质检人员、安全人员、技术人员以及维保人员配备、维保项目、包干维护保养工作计划等：</w:t>
            </w:r>
          </w:p>
          <w:p w14:paraId="786EF2F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要素齐全，且维保计划科学合理的为优秀；要素无缺项，维保计划较为合理的为良好；要素无缺项，维保计划基本合理的为合格；要素不齐，维保计划不合理的为不合格。</w:t>
            </w:r>
          </w:p>
          <w:p w14:paraId="2EE342BD">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维护保养工作计划优秀的，得9分；</w:t>
            </w:r>
          </w:p>
          <w:p w14:paraId="402692E3">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维护保养工作计划良好的，得6分；</w:t>
            </w:r>
          </w:p>
          <w:p w14:paraId="5519D050">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维护保养工作计划合格的，得3分；</w:t>
            </w:r>
          </w:p>
          <w:p w14:paraId="0A7CB505">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维护保养工作计划不合格的，得0分；</w:t>
            </w:r>
          </w:p>
          <w:p w14:paraId="517CF637">
            <w:pPr>
              <w:pStyle w:val="39"/>
              <w:spacing w:after="0" w:line="400" w:lineRule="exact"/>
              <w:ind w:left="0" w:leftChars="0" w:firstLine="420" w:firstLineChars="200"/>
              <w:rPr>
                <w:rFonts w:asciiTheme="majorEastAsia" w:hAnsiTheme="majorEastAsia" w:eastAsiaTheme="majorEastAsia" w:cstheme="majorEastAsia"/>
                <w:sz w:val="21"/>
                <w:szCs w:val="21"/>
              </w:rPr>
            </w:pPr>
            <w:r>
              <w:rPr>
                <w:rFonts w:hint="eastAsia" w:ascii="宋体" w:hAnsi="宋体" w:cs="宋体"/>
                <w:color w:val="000000"/>
                <w:sz w:val="21"/>
                <w:szCs w:val="21"/>
              </w:rPr>
              <w:t>注：提供电梯包干维护保养工作方案，格式自拟。</w:t>
            </w:r>
          </w:p>
        </w:tc>
      </w:tr>
      <w:tr w14:paraId="28F7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23A2E49C">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5C250F30">
            <w:pPr>
              <w:snapToGrid w:val="0"/>
              <w:spacing w:line="400" w:lineRule="exact"/>
              <w:jc w:val="center"/>
              <w:rPr>
                <w:rFonts w:asciiTheme="majorEastAsia" w:hAnsiTheme="majorEastAsia" w:eastAsiaTheme="majorEastAsia" w:cstheme="majorEastAsia"/>
                <w:kern w:val="0"/>
                <w:szCs w:val="21"/>
              </w:rPr>
            </w:pPr>
          </w:p>
        </w:tc>
        <w:tc>
          <w:tcPr>
            <w:tcW w:w="514" w:type="dxa"/>
            <w:vMerge w:val="restart"/>
            <w:vAlign w:val="center"/>
          </w:tcPr>
          <w:p w14:paraId="3E82F43F">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服务措施13分</w:t>
            </w:r>
          </w:p>
        </w:tc>
        <w:tc>
          <w:tcPr>
            <w:tcW w:w="1528" w:type="dxa"/>
            <w:gridSpan w:val="2"/>
            <w:vAlign w:val="center"/>
          </w:tcPr>
          <w:p w14:paraId="4BC1760A">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安全文明措施（6分）</w:t>
            </w:r>
          </w:p>
        </w:tc>
        <w:tc>
          <w:tcPr>
            <w:tcW w:w="5475" w:type="dxa"/>
          </w:tcPr>
          <w:p w14:paraId="64718A8D">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制定文明、安全施工方案。方案中需有文明、安全施工的措施，安全生产管理制度和操作规程，科学合理的应急预案。根据方案的优劣打分，优秀的得6分，方案良好的得4分，方案合格的得2分，方案不合格的得0分。</w:t>
            </w:r>
          </w:p>
          <w:p w14:paraId="42454557">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优秀：方案详实、科学合理、可行性、针对性强：</w:t>
            </w:r>
          </w:p>
          <w:p w14:paraId="05FD7DA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良好：方案较详实、较科学合理、可行性、针对性较强；</w:t>
            </w:r>
          </w:p>
          <w:p w14:paraId="59CD4001">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合格：方案内容基本齐全、基本合理、有一定的可行性、针对性；</w:t>
            </w:r>
          </w:p>
          <w:p w14:paraId="617990B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不合格：方案不详实、不科学合理、可行性、针对性较差的，或未提供的。</w:t>
            </w:r>
          </w:p>
          <w:p w14:paraId="5C81D5EB">
            <w:pPr>
              <w:pStyle w:val="39"/>
              <w:spacing w:after="0" w:line="400" w:lineRule="exact"/>
              <w:ind w:left="0" w:leftChars="0" w:firstLine="420" w:firstLineChars="200"/>
              <w:jc w:val="left"/>
              <w:rPr>
                <w:rFonts w:asciiTheme="majorEastAsia" w:hAnsiTheme="majorEastAsia" w:eastAsiaTheme="majorEastAsia" w:cstheme="majorEastAsia"/>
                <w:sz w:val="21"/>
                <w:szCs w:val="21"/>
              </w:rPr>
            </w:pPr>
            <w:r>
              <w:rPr>
                <w:rFonts w:hint="eastAsia" w:ascii="宋体" w:hAnsi="宋体" w:cs="宋体"/>
                <w:color w:val="000000"/>
                <w:sz w:val="21"/>
                <w:szCs w:val="21"/>
              </w:rPr>
              <w:t>注：提供安全文明措施方案，格式自拟。</w:t>
            </w:r>
          </w:p>
        </w:tc>
      </w:tr>
      <w:tr w14:paraId="64BA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43E4388C">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31C1796B">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6E384E70">
            <w:pPr>
              <w:spacing w:line="400" w:lineRule="exact"/>
              <w:jc w:val="center"/>
              <w:rPr>
                <w:rFonts w:asciiTheme="majorEastAsia" w:hAnsiTheme="majorEastAsia" w:eastAsiaTheme="majorEastAsia" w:cstheme="majorEastAsia"/>
              </w:rPr>
            </w:pPr>
          </w:p>
        </w:tc>
        <w:tc>
          <w:tcPr>
            <w:tcW w:w="1528" w:type="dxa"/>
            <w:gridSpan w:val="2"/>
            <w:vMerge w:val="restart"/>
            <w:vAlign w:val="center"/>
          </w:tcPr>
          <w:p w14:paraId="4110D12A">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应急响应（4分）</w:t>
            </w:r>
          </w:p>
        </w:tc>
        <w:tc>
          <w:tcPr>
            <w:tcW w:w="5475" w:type="dxa"/>
          </w:tcPr>
          <w:p w14:paraId="3FE6ACF8">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电梯困人后，15分钟到达现场，到现场后30分钟解救被困人员的，得1分；</w:t>
            </w:r>
          </w:p>
          <w:p w14:paraId="05413D07">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因不可抗力或人为损坏造成电梯停梯的，先行实施维修恢复电梯运行的，得1分；</w:t>
            </w:r>
          </w:p>
          <w:p w14:paraId="1C8BF58F">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注：提供承诺函并加盖比选申请人单位公章，格式自拟。以上内容均纳入合同约定范围。</w:t>
            </w:r>
          </w:p>
        </w:tc>
      </w:tr>
      <w:tr w14:paraId="08E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0" w:type="dxa"/>
            <w:vMerge w:val="continue"/>
            <w:vAlign w:val="center"/>
          </w:tcPr>
          <w:p w14:paraId="60FDD881">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3F09FDCD">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7AE34948">
            <w:pPr>
              <w:spacing w:line="400" w:lineRule="exact"/>
              <w:jc w:val="center"/>
              <w:rPr>
                <w:rFonts w:asciiTheme="majorEastAsia" w:hAnsiTheme="majorEastAsia" w:eastAsiaTheme="majorEastAsia" w:cstheme="majorEastAsia"/>
              </w:rPr>
            </w:pPr>
          </w:p>
        </w:tc>
        <w:tc>
          <w:tcPr>
            <w:tcW w:w="1528" w:type="dxa"/>
            <w:gridSpan w:val="2"/>
            <w:vMerge w:val="continue"/>
            <w:vAlign w:val="center"/>
          </w:tcPr>
          <w:p w14:paraId="4177F96A">
            <w:pPr>
              <w:spacing w:line="400" w:lineRule="exact"/>
              <w:jc w:val="center"/>
              <w:rPr>
                <w:rFonts w:asciiTheme="majorEastAsia" w:hAnsiTheme="majorEastAsia" w:eastAsiaTheme="majorEastAsia" w:cstheme="majorEastAsia"/>
              </w:rPr>
            </w:pPr>
          </w:p>
        </w:tc>
        <w:tc>
          <w:tcPr>
            <w:tcW w:w="5475" w:type="dxa"/>
          </w:tcPr>
          <w:p w14:paraId="3D89E44E">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设立小区服务电话、人工报修、查询、投诉接待点，提供全年365天24小时的应急响应服务，并确保通讯畅通，得2分</w:t>
            </w:r>
          </w:p>
          <w:p w14:paraId="58CBC5AB">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注：提供承诺函并加盖比选申请人单位公章，格式自拟。以上内容均纳入合同约定范围。</w:t>
            </w:r>
          </w:p>
        </w:tc>
      </w:tr>
      <w:tr w14:paraId="0F37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5877E792">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263E1B9C">
            <w:pPr>
              <w:snapToGrid w:val="0"/>
              <w:spacing w:line="400" w:lineRule="exact"/>
              <w:jc w:val="center"/>
              <w:rPr>
                <w:rFonts w:asciiTheme="majorEastAsia" w:hAnsiTheme="majorEastAsia" w:eastAsiaTheme="majorEastAsia" w:cstheme="majorEastAsia"/>
                <w:kern w:val="0"/>
                <w:szCs w:val="21"/>
              </w:rPr>
            </w:pPr>
          </w:p>
        </w:tc>
        <w:tc>
          <w:tcPr>
            <w:tcW w:w="514" w:type="dxa"/>
            <w:vMerge w:val="continue"/>
            <w:vAlign w:val="center"/>
          </w:tcPr>
          <w:p w14:paraId="463545F8">
            <w:pPr>
              <w:spacing w:line="400" w:lineRule="exact"/>
              <w:jc w:val="center"/>
              <w:rPr>
                <w:rFonts w:asciiTheme="majorEastAsia" w:hAnsiTheme="majorEastAsia" w:eastAsiaTheme="majorEastAsia" w:cstheme="majorEastAsia"/>
              </w:rPr>
            </w:pPr>
          </w:p>
        </w:tc>
        <w:tc>
          <w:tcPr>
            <w:tcW w:w="1528" w:type="dxa"/>
            <w:gridSpan w:val="2"/>
            <w:vAlign w:val="center"/>
          </w:tcPr>
          <w:p w14:paraId="258F5431">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提供电梯公众责任保险（3分）</w:t>
            </w:r>
          </w:p>
        </w:tc>
        <w:tc>
          <w:tcPr>
            <w:tcW w:w="5475" w:type="dxa"/>
          </w:tcPr>
          <w:p w14:paraId="38C7F78F">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为本合同电梯提供公众责任险，并提供相关投保合同复印件至比选人备案。投保赔付金额不低于第三者（乘客）人身伤亡及财产损失单次累计1000万元的，得1分；投保赔付金额不低于第三者（乘客）人身伤亡及财产损失单次累计1200万元的，得2分；投保赔付金额不低于第三者（乘客）人身伤亡及财产损失单次累计1500万元的，得3分；</w:t>
            </w:r>
          </w:p>
          <w:p w14:paraId="4AF3C1B2">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注：提供承诺函并加盖比选申请人单位公章，格式自拟。</w:t>
            </w:r>
          </w:p>
        </w:tc>
      </w:tr>
      <w:tr w14:paraId="5ADD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50600365">
            <w:pPr>
              <w:snapToGrid w:val="0"/>
              <w:spacing w:line="400" w:lineRule="exact"/>
              <w:ind w:left="105" w:hanging="105" w:hangingChars="50"/>
              <w:jc w:val="center"/>
              <w:rPr>
                <w:rFonts w:asciiTheme="majorEastAsia" w:hAnsiTheme="majorEastAsia" w:eastAsiaTheme="majorEastAsia" w:cstheme="majorEastAsia"/>
                <w:kern w:val="0"/>
                <w:szCs w:val="21"/>
              </w:rPr>
            </w:pPr>
          </w:p>
        </w:tc>
        <w:tc>
          <w:tcPr>
            <w:tcW w:w="1415" w:type="dxa"/>
            <w:vMerge w:val="continue"/>
            <w:vAlign w:val="center"/>
          </w:tcPr>
          <w:p w14:paraId="0BCDCA6A">
            <w:pPr>
              <w:snapToGrid w:val="0"/>
              <w:spacing w:line="400" w:lineRule="exact"/>
              <w:jc w:val="center"/>
              <w:rPr>
                <w:rFonts w:asciiTheme="majorEastAsia" w:hAnsiTheme="majorEastAsia" w:eastAsiaTheme="majorEastAsia" w:cstheme="majorEastAsia"/>
                <w:kern w:val="0"/>
                <w:szCs w:val="21"/>
              </w:rPr>
            </w:pPr>
          </w:p>
        </w:tc>
        <w:tc>
          <w:tcPr>
            <w:tcW w:w="2042" w:type="dxa"/>
            <w:gridSpan w:val="3"/>
            <w:vAlign w:val="center"/>
          </w:tcPr>
          <w:p w14:paraId="472B3A7B">
            <w:pPr>
              <w:spacing w:line="400" w:lineRule="exact"/>
              <w:jc w:val="center"/>
              <w:rPr>
                <w:rFonts w:ascii="宋体" w:hAnsi="宋体" w:cs="宋体"/>
                <w:color w:val="000000"/>
                <w:szCs w:val="21"/>
              </w:rPr>
            </w:pPr>
            <w:r>
              <w:rPr>
                <w:rFonts w:hint="eastAsia" w:ascii="宋体" w:hAnsi="宋体" w:cs="宋体"/>
                <w:color w:val="000000"/>
                <w:szCs w:val="21"/>
              </w:rPr>
              <w:t>比选申请人承诺</w:t>
            </w:r>
          </w:p>
          <w:p w14:paraId="39D65503">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（7分）</w:t>
            </w:r>
          </w:p>
        </w:tc>
        <w:tc>
          <w:tcPr>
            <w:tcW w:w="5475" w:type="dxa"/>
          </w:tcPr>
          <w:p w14:paraId="1C1BFB22">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1.电梯如出现伤亡事故，中选人有义务组织人员救治并垫付相关救治费用，待事故责任调查鉴定清楚后，由责任人赔偿或保险公司赔付得1分；</w:t>
            </w:r>
          </w:p>
          <w:p w14:paraId="1B5C3E63">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合同服务范围的电梯修理工作，电梯重大维修停梯三日内未修复的，比选人扣除该台电梯一个月包干维修费；电梯重大维修停梯六日内未修复的，扣除该台电梯三个月包干维修费；电梯重大维修停梯九日内未修复的，扣除该台电梯六个月包干维修费。一般维修造成电梯停梯的，扣除该台电梯该月的包干维修费，得1分；</w:t>
            </w:r>
          </w:p>
          <w:p w14:paraId="632DF525">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3、除因故无法运行的电梯外，中选人承诺无条件接手所有能够运行电梯包干维修及日常维护保养工作，并不以任何其他理由推迟、延误接手时间及提出增加包干维修费以外的费用得2分。</w:t>
            </w:r>
          </w:p>
          <w:p w14:paraId="3668FBF6">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4.电梯企业承诺同意配合和认可比选人邀请专业机构和行业专家每年及合同期到期后对服务质量进行评定的，得1分。</w:t>
            </w:r>
          </w:p>
          <w:p w14:paraId="7ABE2D67">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5.电梯企业承诺同意按年建立小区电梯维修台账，独立核算年度维修成本，并请第三方审价机构对全年成本进行复核并出具成本核算报告。维修台账和成本核算报告报招标人备案的，得1分。</w:t>
            </w:r>
          </w:p>
          <w:p w14:paraId="488F7FD3">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6.承诺同意按照《重庆市公共租赁房电梯日常维保与维修包干服务工作考核暂行办法》实施考核，并接受考核处罚的，得1分。</w:t>
            </w:r>
          </w:p>
          <w:p w14:paraId="4790D595">
            <w:pPr>
              <w:pStyle w:val="39"/>
              <w:spacing w:after="0" w:line="400" w:lineRule="exact"/>
              <w:ind w:left="0" w:leftChars="0" w:firstLine="420" w:firstLineChars="200"/>
              <w:jc w:val="left"/>
              <w:rPr>
                <w:rFonts w:asciiTheme="majorEastAsia" w:hAnsiTheme="majorEastAsia" w:eastAsiaTheme="majorEastAsia" w:cstheme="majorEastAsia"/>
                <w:sz w:val="21"/>
                <w:szCs w:val="21"/>
              </w:rPr>
            </w:pPr>
            <w:r>
              <w:rPr>
                <w:rFonts w:hint="eastAsia" w:ascii="宋体" w:hAnsi="宋体" w:cs="宋体"/>
                <w:color w:val="000000"/>
                <w:sz w:val="21"/>
                <w:szCs w:val="21"/>
              </w:rPr>
              <w:t>注：提供承诺函并加盖比选申请人单位公章，格式自拟。</w:t>
            </w:r>
          </w:p>
        </w:tc>
      </w:tr>
      <w:tr w14:paraId="509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restart"/>
            <w:vAlign w:val="center"/>
          </w:tcPr>
          <w:p w14:paraId="74027482">
            <w:pPr>
              <w:snapToGrid w:val="0"/>
              <w:spacing w:line="400" w:lineRule="exact"/>
              <w:ind w:left="105" w:hanging="105" w:hangingChars="5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14:paraId="40178D75">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p>
        </w:tc>
        <w:tc>
          <w:tcPr>
            <w:tcW w:w="1415" w:type="dxa"/>
            <w:vMerge w:val="restart"/>
            <w:vAlign w:val="center"/>
          </w:tcPr>
          <w:p w14:paraId="6638E50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商务部分</w:t>
            </w:r>
          </w:p>
          <w:p w14:paraId="6927727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评分标准</w:t>
            </w:r>
          </w:p>
          <w:p w14:paraId="275D61FE">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（C）</w:t>
            </w:r>
          </w:p>
        </w:tc>
        <w:tc>
          <w:tcPr>
            <w:tcW w:w="2042" w:type="dxa"/>
            <w:gridSpan w:val="3"/>
            <w:vAlign w:val="center"/>
          </w:tcPr>
          <w:p w14:paraId="70456ED4">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体系认证3分</w:t>
            </w:r>
          </w:p>
        </w:tc>
        <w:tc>
          <w:tcPr>
            <w:tcW w:w="5475" w:type="dxa"/>
          </w:tcPr>
          <w:p w14:paraId="66683279">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比选申请人同时具有ISO9001质量管理体系认证、ISO14001环境管理体系认证、ISO45001职业健康安全管理体系认证的得3分。</w:t>
            </w:r>
          </w:p>
          <w:p w14:paraId="54DC6F9F">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注：提供有效证书扫描件、国家认监委网站对证书信息查询截图，未按要求提供或资料不清晰导致专家无法判断的不得分。</w:t>
            </w:r>
          </w:p>
        </w:tc>
      </w:tr>
      <w:tr w14:paraId="6F3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21BE73FE">
            <w:pPr>
              <w:spacing w:line="400" w:lineRule="exact"/>
              <w:jc w:val="center"/>
              <w:rPr>
                <w:rFonts w:asciiTheme="majorEastAsia" w:hAnsiTheme="majorEastAsia" w:eastAsiaTheme="majorEastAsia" w:cstheme="majorEastAsia"/>
                <w:kern w:val="0"/>
                <w:szCs w:val="21"/>
              </w:rPr>
            </w:pPr>
          </w:p>
        </w:tc>
        <w:tc>
          <w:tcPr>
            <w:tcW w:w="1415" w:type="dxa"/>
            <w:vMerge w:val="continue"/>
            <w:vAlign w:val="center"/>
          </w:tcPr>
          <w:p w14:paraId="5C0D38E5">
            <w:pPr>
              <w:spacing w:line="400" w:lineRule="exact"/>
              <w:jc w:val="center"/>
              <w:rPr>
                <w:rFonts w:asciiTheme="majorEastAsia" w:hAnsiTheme="majorEastAsia" w:eastAsiaTheme="majorEastAsia" w:cstheme="majorEastAsia"/>
                <w:kern w:val="0"/>
                <w:szCs w:val="21"/>
              </w:rPr>
            </w:pPr>
          </w:p>
        </w:tc>
        <w:tc>
          <w:tcPr>
            <w:tcW w:w="2042" w:type="dxa"/>
            <w:gridSpan w:val="3"/>
            <w:vAlign w:val="center"/>
          </w:tcPr>
          <w:p w14:paraId="1288A0A4">
            <w:pPr>
              <w:spacing w:line="400" w:lineRule="exact"/>
              <w:jc w:val="center"/>
              <w:rPr>
                <w:rFonts w:asciiTheme="majorEastAsia" w:hAnsiTheme="majorEastAsia" w:eastAsiaTheme="majorEastAsia" w:cstheme="majorEastAsia"/>
              </w:rPr>
            </w:pPr>
            <w:r>
              <w:rPr>
                <w:rFonts w:hint="eastAsia" w:ascii="宋体" w:hAnsi="宋体" w:cs="宋体"/>
                <w:color w:val="000000"/>
                <w:szCs w:val="21"/>
              </w:rPr>
              <w:t>安全标准3分</w:t>
            </w:r>
          </w:p>
        </w:tc>
        <w:tc>
          <w:tcPr>
            <w:tcW w:w="5475" w:type="dxa"/>
          </w:tcPr>
          <w:p w14:paraId="61377877">
            <w:pPr>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比选申请人具有地级市（直辖市区级）及以上行政主管部门颁发的《安全生产标准化证书》，或者提供当地市场监督管理局无安全事故证明文件，得3分。</w:t>
            </w:r>
          </w:p>
          <w:p w14:paraId="0F52380B">
            <w:pPr>
              <w:pStyle w:val="39"/>
              <w:spacing w:after="0" w:line="400" w:lineRule="exact"/>
              <w:ind w:left="0" w:leftChars="0" w:firstLine="420" w:firstLineChars="200"/>
              <w:rPr>
                <w:rFonts w:asciiTheme="majorEastAsia" w:hAnsiTheme="majorEastAsia" w:eastAsiaTheme="majorEastAsia" w:cstheme="majorEastAsia"/>
                <w:sz w:val="21"/>
                <w:szCs w:val="21"/>
              </w:rPr>
            </w:pPr>
            <w:r>
              <w:rPr>
                <w:rFonts w:hint="eastAsia" w:ascii="宋体" w:hAnsi="宋体" w:cs="宋体"/>
                <w:color w:val="000000"/>
                <w:sz w:val="21"/>
                <w:szCs w:val="21"/>
              </w:rPr>
              <w:t>提供复印件并加盖比选申请人公章。</w:t>
            </w:r>
          </w:p>
        </w:tc>
      </w:tr>
      <w:tr w14:paraId="0AC4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0" w:type="dxa"/>
            <w:vMerge w:val="continue"/>
            <w:vAlign w:val="center"/>
          </w:tcPr>
          <w:p w14:paraId="7E164161">
            <w:pPr>
              <w:spacing w:line="400" w:lineRule="exact"/>
              <w:jc w:val="center"/>
              <w:rPr>
                <w:rFonts w:asciiTheme="majorEastAsia" w:hAnsiTheme="majorEastAsia" w:eastAsiaTheme="majorEastAsia" w:cstheme="majorEastAsia"/>
                <w:kern w:val="0"/>
                <w:szCs w:val="21"/>
              </w:rPr>
            </w:pPr>
          </w:p>
        </w:tc>
        <w:tc>
          <w:tcPr>
            <w:tcW w:w="1415" w:type="dxa"/>
            <w:vMerge w:val="continue"/>
            <w:vAlign w:val="center"/>
          </w:tcPr>
          <w:p w14:paraId="4A0EB6C0">
            <w:pPr>
              <w:spacing w:line="400" w:lineRule="exact"/>
              <w:jc w:val="center"/>
              <w:rPr>
                <w:rFonts w:asciiTheme="majorEastAsia" w:hAnsiTheme="majorEastAsia" w:eastAsiaTheme="majorEastAsia" w:cstheme="majorEastAsia"/>
                <w:kern w:val="0"/>
                <w:szCs w:val="21"/>
              </w:rPr>
            </w:pPr>
          </w:p>
        </w:tc>
        <w:tc>
          <w:tcPr>
            <w:tcW w:w="2042" w:type="dxa"/>
            <w:gridSpan w:val="3"/>
            <w:vAlign w:val="center"/>
          </w:tcPr>
          <w:p w14:paraId="10AA60B7">
            <w:pPr>
              <w:spacing w:line="400" w:lineRule="exact"/>
              <w:jc w:val="center"/>
              <w:rPr>
                <w:rFonts w:asciiTheme="majorEastAsia" w:hAnsiTheme="majorEastAsia" w:eastAsiaTheme="majorEastAsia" w:cstheme="majorEastAsia"/>
                <w:kern w:val="0"/>
                <w:szCs w:val="21"/>
              </w:rPr>
            </w:pPr>
            <w:r>
              <w:rPr>
                <w:rFonts w:hint="eastAsia" w:ascii="宋体" w:hAnsi="宋体" w:cs="宋体"/>
                <w:color w:val="000000"/>
                <w:szCs w:val="21"/>
              </w:rPr>
              <w:t>维保业绩4分</w:t>
            </w:r>
          </w:p>
        </w:tc>
        <w:tc>
          <w:tcPr>
            <w:tcW w:w="5475" w:type="dxa"/>
          </w:tcPr>
          <w:p w14:paraId="7EEAFE71">
            <w:pPr>
              <w:spacing w:line="400" w:lineRule="exact"/>
              <w:ind w:firstLine="420" w:firstLineChars="200"/>
              <w:rPr>
                <w:rFonts w:ascii="宋体" w:hAnsi="宋体" w:cs="宋体"/>
                <w:color w:val="000000"/>
                <w:szCs w:val="21"/>
              </w:rPr>
            </w:pPr>
            <w:r>
              <w:rPr>
                <w:rFonts w:hint="eastAsia" w:ascii="宋体" w:hAnsi="宋体" w:cs="宋体"/>
                <w:color w:val="000000"/>
                <w:szCs w:val="21"/>
              </w:rPr>
              <w:t>在电梯包干服务比选期内，服务的电梯数量和正在执行的维保合同满足以下要求的：维保服务电梯总量400台及以上小于600台的，得2分，总量超过600台及以上的，得4分。</w:t>
            </w:r>
          </w:p>
          <w:p w14:paraId="0266D8D8">
            <w:pPr>
              <w:pStyle w:val="39"/>
              <w:spacing w:after="0" w:line="400" w:lineRule="exact"/>
              <w:ind w:left="0" w:leftChars="0" w:firstLine="420" w:firstLineChars="200"/>
              <w:rPr>
                <w:rFonts w:asciiTheme="majorEastAsia" w:hAnsiTheme="majorEastAsia" w:eastAsiaTheme="majorEastAsia" w:cstheme="majorEastAsia"/>
                <w:sz w:val="21"/>
                <w:szCs w:val="21"/>
              </w:rPr>
            </w:pPr>
            <w:r>
              <w:rPr>
                <w:rFonts w:hint="eastAsia" w:ascii="宋体" w:hAnsi="宋体" w:cs="宋体"/>
                <w:color w:val="000000"/>
                <w:sz w:val="21"/>
                <w:szCs w:val="21"/>
              </w:rPr>
              <w:t>提供合同扫描件，如合同未体现电梯数量的，需同时提供业主单位或管理单位出具的电梯数量证明材料扫描。</w:t>
            </w:r>
          </w:p>
        </w:tc>
      </w:tr>
      <w:tr w14:paraId="7CB0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A302983">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3</w:t>
            </w:r>
          </w:p>
        </w:tc>
        <w:tc>
          <w:tcPr>
            <w:tcW w:w="1415" w:type="dxa"/>
            <w:textDirection w:val="tbRlV"/>
            <w:vAlign w:val="center"/>
          </w:tcPr>
          <w:p w14:paraId="312DE6E5">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评审程序</w:t>
            </w:r>
          </w:p>
        </w:tc>
        <w:tc>
          <w:tcPr>
            <w:tcW w:w="7517" w:type="dxa"/>
            <w:gridSpan w:val="4"/>
          </w:tcPr>
          <w:p w14:paraId="59A1E83B">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1.初步评审前，按本章第3.1.3项的规定对比选申请报价有算术性错误的进行算术性错误修正。</w:t>
            </w:r>
          </w:p>
          <w:p w14:paraId="2FCDCDD9">
            <w:pPr>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szCs w:val="21"/>
              </w:rPr>
              <w:t>2.初步评审合格的比选申请文件进行比选申请报价、技术部分、商务部分的评分。</w:t>
            </w:r>
          </w:p>
          <w:p w14:paraId="2C52EE58">
            <w:pPr>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szCs w:val="21"/>
              </w:rPr>
              <w:t>3.根据综合得分由高至低进行排序，推荐1-3家合格的中选候选人。并依次为第一、二、三中选候选人。</w:t>
            </w:r>
          </w:p>
        </w:tc>
      </w:tr>
      <w:tr w14:paraId="083A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20" w:type="dxa"/>
            <w:vAlign w:val="center"/>
          </w:tcPr>
          <w:p w14:paraId="4EE6796C">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3.2.1（1）</w:t>
            </w:r>
          </w:p>
        </w:tc>
        <w:tc>
          <w:tcPr>
            <w:tcW w:w="1415" w:type="dxa"/>
            <w:vAlign w:val="center"/>
          </w:tcPr>
          <w:p w14:paraId="1AD496DC">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比选申请报价得分（A）</w:t>
            </w:r>
          </w:p>
        </w:tc>
        <w:tc>
          <w:tcPr>
            <w:tcW w:w="7517" w:type="dxa"/>
            <w:gridSpan w:val="4"/>
            <w:vAlign w:val="center"/>
          </w:tcPr>
          <w:p w14:paraId="05A9665A">
            <w:pPr>
              <w:adjustRightInd w:val="0"/>
              <w:snapToGrid w:val="0"/>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按2.2.4（1）项各评审因素设定的分值评分。</w:t>
            </w:r>
          </w:p>
        </w:tc>
      </w:tr>
      <w:tr w14:paraId="7FE7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20" w:type="dxa"/>
            <w:vAlign w:val="center"/>
          </w:tcPr>
          <w:p w14:paraId="3A798D8B">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3.2.1（2）</w:t>
            </w:r>
          </w:p>
        </w:tc>
        <w:tc>
          <w:tcPr>
            <w:tcW w:w="1415" w:type="dxa"/>
            <w:vAlign w:val="center"/>
          </w:tcPr>
          <w:p w14:paraId="0A02B652">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商务部分得分（B）</w:t>
            </w:r>
          </w:p>
        </w:tc>
        <w:tc>
          <w:tcPr>
            <w:tcW w:w="7517" w:type="dxa"/>
            <w:gridSpan w:val="4"/>
            <w:vAlign w:val="center"/>
          </w:tcPr>
          <w:p w14:paraId="2C76DE02">
            <w:pPr>
              <w:adjustRightInd w:val="0"/>
              <w:snapToGrid w:val="0"/>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按2.2.4（2）项各评审因素设定的分值评分。</w:t>
            </w:r>
          </w:p>
        </w:tc>
      </w:tr>
      <w:tr w14:paraId="3B51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820" w:type="dxa"/>
            <w:vAlign w:val="center"/>
          </w:tcPr>
          <w:p w14:paraId="511EDA31">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3.2.1（3）</w:t>
            </w:r>
          </w:p>
        </w:tc>
        <w:tc>
          <w:tcPr>
            <w:tcW w:w="1415" w:type="dxa"/>
            <w:vAlign w:val="center"/>
          </w:tcPr>
          <w:p w14:paraId="788D278E">
            <w:pPr>
              <w:adjustRightInd w:val="0"/>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商务部分得分（C）</w:t>
            </w:r>
          </w:p>
        </w:tc>
        <w:tc>
          <w:tcPr>
            <w:tcW w:w="7517" w:type="dxa"/>
            <w:gridSpan w:val="4"/>
            <w:vAlign w:val="center"/>
          </w:tcPr>
          <w:p w14:paraId="424FF342">
            <w:pPr>
              <w:adjustRightInd w:val="0"/>
              <w:snapToGrid w:val="0"/>
              <w:spacing w:line="40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按2.2.4（3）项各评审因素设定的分值评分。</w:t>
            </w:r>
          </w:p>
        </w:tc>
      </w:tr>
      <w:tr w14:paraId="23D5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35" w:type="dxa"/>
            <w:gridSpan w:val="2"/>
            <w:vAlign w:val="center"/>
          </w:tcPr>
          <w:p w14:paraId="1CB665FB">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3.2.3</w:t>
            </w:r>
          </w:p>
        </w:tc>
        <w:tc>
          <w:tcPr>
            <w:tcW w:w="1866" w:type="dxa"/>
            <w:gridSpan w:val="2"/>
            <w:vAlign w:val="center"/>
          </w:tcPr>
          <w:p w14:paraId="5D05E973">
            <w:pPr>
              <w:spacing w:line="4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比选申请人得分</w:t>
            </w:r>
          </w:p>
        </w:tc>
        <w:tc>
          <w:tcPr>
            <w:tcW w:w="5651" w:type="dxa"/>
            <w:gridSpan w:val="2"/>
            <w:vAlign w:val="center"/>
          </w:tcPr>
          <w:p w14:paraId="16E0A689">
            <w:pPr>
              <w:spacing w:line="400" w:lineRule="exact"/>
              <w:ind w:firstLine="420" w:firstLineChars="2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比选申请人得分=A+B+C</w:t>
            </w:r>
          </w:p>
        </w:tc>
      </w:tr>
      <w:bookmarkEnd w:id="419"/>
    </w:tbl>
    <w:p w14:paraId="65A4B910">
      <w:pPr>
        <w:pStyle w:val="3"/>
        <w:rPr>
          <w:rFonts w:asciiTheme="majorEastAsia" w:hAnsiTheme="majorEastAsia" w:eastAsiaTheme="majorEastAsia" w:cstheme="majorEastAsia"/>
          <w:snapToGrid w:val="0"/>
          <w:spacing w:val="0"/>
          <w:w w:val="100"/>
          <w:sz w:val="21"/>
          <w:szCs w:val="21"/>
        </w:rPr>
      </w:pPr>
      <w:bookmarkStart w:id="420" w:name="_Toc440022826"/>
      <w:bookmarkStart w:id="421" w:name="_Toc636"/>
      <w:bookmarkStart w:id="422" w:name="_Toc444155967"/>
      <w:bookmarkStart w:id="423" w:name="_Toc27912"/>
      <w:bookmarkStart w:id="424" w:name="_Toc21111"/>
      <w:bookmarkStart w:id="425" w:name="_Toc376114119"/>
      <w:bookmarkStart w:id="426" w:name="_Toc27466"/>
      <w:bookmarkStart w:id="427" w:name="_Toc377115418"/>
      <w:bookmarkStart w:id="428" w:name="_Toc407195378"/>
      <w:bookmarkStart w:id="429" w:name="_Toc377067338"/>
      <w:bookmarkStart w:id="430" w:name="_Toc32032"/>
    </w:p>
    <w:p w14:paraId="77DCE554">
      <w:pPr>
        <w:widowControl/>
        <w:jc w:val="left"/>
        <w:rPr>
          <w:rFonts w:asciiTheme="majorEastAsia" w:hAnsiTheme="majorEastAsia" w:eastAsiaTheme="majorEastAsia" w:cstheme="majorEastAsia"/>
          <w:b/>
          <w:snapToGrid w:val="0"/>
          <w:szCs w:val="21"/>
        </w:rPr>
      </w:pPr>
      <w:r>
        <w:rPr>
          <w:rFonts w:asciiTheme="majorEastAsia" w:hAnsiTheme="majorEastAsia" w:eastAsiaTheme="majorEastAsia" w:cstheme="majorEastAsia"/>
          <w:snapToGrid w:val="0"/>
          <w:szCs w:val="21"/>
        </w:rPr>
        <w:br w:type="page"/>
      </w:r>
    </w:p>
    <w:p w14:paraId="3B10352C">
      <w:pPr>
        <w:pStyle w:val="3"/>
        <w:rPr>
          <w:rFonts w:asciiTheme="majorEastAsia" w:hAnsiTheme="majorEastAsia" w:eastAsiaTheme="majorEastAsia" w:cstheme="majorEastAsia"/>
          <w:snapToGrid w:val="0"/>
          <w:spacing w:val="0"/>
          <w:w w:val="100"/>
          <w:sz w:val="21"/>
          <w:szCs w:val="21"/>
        </w:rPr>
      </w:pPr>
      <w:r>
        <w:rPr>
          <w:rFonts w:hint="eastAsia" w:asciiTheme="majorEastAsia" w:hAnsiTheme="majorEastAsia" w:eastAsiaTheme="majorEastAsia" w:cstheme="majorEastAsia"/>
          <w:snapToGrid w:val="0"/>
          <w:spacing w:val="0"/>
          <w:w w:val="100"/>
          <w:sz w:val="21"/>
          <w:szCs w:val="21"/>
        </w:rPr>
        <w:t>1. 评审方法</w:t>
      </w:r>
      <w:bookmarkEnd w:id="420"/>
      <w:bookmarkEnd w:id="421"/>
      <w:bookmarkEnd w:id="422"/>
      <w:bookmarkEnd w:id="423"/>
      <w:bookmarkEnd w:id="424"/>
      <w:bookmarkEnd w:id="425"/>
      <w:bookmarkEnd w:id="426"/>
      <w:bookmarkEnd w:id="427"/>
      <w:bookmarkEnd w:id="428"/>
      <w:bookmarkEnd w:id="429"/>
      <w:bookmarkEnd w:id="430"/>
    </w:p>
    <w:p w14:paraId="7DD4F379">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b/>
          <w:kern w:val="0"/>
          <w:szCs w:val="21"/>
        </w:rPr>
      </w:pPr>
      <w:bookmarkStart w:id="431" w:name="_Toc376114120"/>
      <w:bookmarkStart w:id="432" w:name="_Toc277082619"/>
      <w:bookmarkStart w:id="433" w:name="_Toc377115419"/>
      <w:bookmarkStart w:id="434" w:name="_Toc377067339"/>
      <w:bookmarkStart w:id="435" w:name="_Toc287620752"/>
      <w:bookmarkStart w:id="436" w:name="_Toc440022827"/>
      <w:bookmarkStart w:id="437" w:name="_Toc224103385"/>
      <w:bookmarkStart w:id="438" w:name="_Toc407195379"/>
      <w:bookmarkStart w:id="439" w:name="_Toc200513199"/>
      <w:bookmarkStart w:id="440" w:name="_Toc330569206"/>
      <w:bookmarkStart w:id="441" w:name="_Toc287607813"/>
      <w:r>
        <w:rPr>
          <w:rFonts w:hint="eastAsia" w:asciiTheme="majorEastAsia" w:hAnsiTheme="majorEastAsia" w:eastAsiaTheme="majorEastAsia" w:cstheme="majorEastAsia"/>
          <w:kern w:val="0"/>
          <w:szCs w:val="21"/>
        </w:rPr>
        <w:t>本次评审采用综合评估法。评审小组对满足比选文件实质性要求的比选申请文件，按照本章第2.2款规定的评审标准进行打分，并按得分由高到低顺序推荐中选候选人。综合评分相等时，以比选申请报价低的优先；比选申请报价也相等的，则由评审小组采用比选申请人在比选申请文件中提供的经会计师事务所或审计机构出具的合法有效的</w:t>
      </w:r>
      <w:r>
        <w:rPr>
          <w:rFonts w:asciiTheme="majorEastAsia" w:hAnsiTheme="majorEastAsia" w:eastAsiaTheme="majorEastAsia" w:cstheme="majorEastAsia"/>
          <w:kern w:val="0"/>
          <w:szCs w:val="21"/>
        </w:rPr>
        <w:t>2024年度财务审计报告及财务报表所显示的营业收入最高的排名优先</w:t>
      </w:r>
      <w:r>
        <w:rPr>
          <w:rFonts w:hint="eastAsia" w:asciiTheme="majorEastAsia" w:hAnsiTheme="majorEastAsia" w:eastAsiaTheme="majorEastAsia" w:cstheme="majorEastAsia"/>
          <w:kern w:val="0"/>
          <w:szCs w:val="21"/>
        </w:rPr>
        <w:t>确定排名顺序。</w:t>
      </w:r>
    </w:p>
    <w:p w14:paraId="4BCAB700">
      <w:pPr>
        <w:pStyle w:val="3"/>
        <w:rPr>
          <w:rFonts w:asciiTheme="majorEastAsia" w:hAnsiTheme="majorEastAsia" w:eastAsiaTheme="majorEastAsia" w:cstheme="majorEastAsia"/>
          <w:snapToGrid w:val="0"/>
          <w:spacing w:val="0"/>
          <w:w w:val="100"/>
          <w:sz w:val="21"/>
          <w:szCs w:val="21"/>
        </w:rPr>
      </w:pPr>
      <w:bookmarkStart w:id="442" w:name="_Toc27406"/>
      <w:bookmarkStart w:id="443" w:name="_Toc5950"/>
      <w:bookmarkStart w:id="444" w:name="_Toc16716"/>
      <w:bookmarkStart w:id="445" w:name="_Toc23969"/>
      <w:bookmarkStart w:id="446" w:name="_Toc444155968"/>
      <w:bookmarkStart w:id="447" w:name="_Toc2274"/>
      <w:r>
        <w:rPr>
          <w:rFonts w:hint="eastAsia" w:asciiTheme="majorEastAsia" w:hAnsiTheme="majorEastAsia" w:eastAsiaTheme="majorEastAsia" w:cstheme="majorEastAsia"/>
          <w:snapToGrid w:val="0"/>
          <w:spacing w:val="0"/>
          <w:w w:val="100"/>
          <w:sz w:val="21"/>
          <w:szCs w:val="21"/>
        </w:rPr>
        <w:t>2. 评审标准</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40E014C">
      <w:pPr>
        <w:pStyle w:val="4"/>
        <w:snapToGrid w:val="0"/>
        <w:spacing w:before="0" w:line="360" w:lineRule="auto"/>
        <w:rPr>
          <w:rFonts w:asciiTheme="majorEastAsia" w:hAnsiTheme="majorEastAsia" w:eastAsiaTheme="majorEastAsia" w:cstheme="majorEastAsia"/>
          <w:sz w:val="21"/>
          <w:szCs w:val="21"/>
        </w:rPr>
      </w:pPr>
      <w:bookmarkStart w:id="448" w:name="_Toc23425"/>
      <w:bookmarkStart w:id="449" w:name="_Toc7584"/>
      <w:bookmarkStart w:id="450" w:name="_Toc330569207"/>
      <w:bookmarkStart w:id="451" w:name="_Toc377067340"/>
      <w:bookmarkStart w:id="452" w:name="_Toc444155969"/>
      <w:bookmarkStart w:id="453" w:name="_Toc377115420"/>
      <w:bookmarkStart w:id="454" w:name="_Toc440022828"/>
      <w:bookmarkStart w:id="455" w:name="_Toc287607814"/>
      <w:bookmarkStart w:id="456" w:name="_Toc11839"/>
      <w:bookmarkStart w:id="457" w:name="_Toc407195380"/>
      <w:bookmarkStart w:id="458" w:name="_Toc277082620"/>
      <w:bookmarkStart w:id="459" w:name="_Toc376114121"/>
      <w:bookmarkStart w:id="460" w:name="_Toc287620753"/>
      <w:bookmarkStart w:id="461" w:name="_Toc21593"/>
      <w:bookmarkStart w:id="462" w:name="_Toc224103386"/>
      <w:bookmarkStart w:id="463" w:name="_Toc200513200"/>
      <w:r>
        <w:rPr>
          <w:rFonts w:hint="eastAsia" w:asciiTheme="majorEastAsia" w:hAnsiTheme="majorEastAsia" w:eastAsiaTheme="majorEastAsia" w:cstheme="majorEastAsia"/>
          <w:sz w:val="21"/>
          <w:szCs w:val="21"/>
        </w:rPr>
        <w:t>2.1 初步评审标准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710372E4">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2.1.1 资格评审标准：见评审办法前附表。</w:t>
      </w:r>
    </w:p>
    <w:p w14:paraId="4A0EAEAC">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2.1.2 形式评审标准：见评审办法前附表。</w:t>
      </w:r>
    </w:p>
    <w:p w14:paraId="054DF196">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2.1.3 响应性评审标准：见评审办法前附表。</w:t>
      </w:r>
    </w:p>
    <w:p w14:paraId="3B07BB5B">
      <w:pPr>
        <w:pStyle w:val="4"/>
        <w:snapToGrid w:val="0"/>
        <w:spacing w:before="0" w:line="360" w:lineRule="auto"/>
        <w:rPr>
          <w:rFonts w:asciiTheme="majorEastAsia" w:hAnsiTheme="majorEastAsia" w:eastAsiaTheme="majorEastAsia" w:cstheme="majorEastAsia"/>
          <w:sz w:val="21"/>
          <w:szCs w:val="21"/>
        </w:rPr>
      </w:pPr>
      <w:bookmarkStart w:id="464" w:name="_Toc200513201"/>
      <w:bookmarkStart w:id="465" w:name="_Toc277082621"/>
      <w:bookmarkStart w:id="466" w:name="_Toc444155970"/>
      <w:bookmarkStart w:id="467" w:name="_Toc224103387"/>
      <w:bookmarkStart w:id="468" w:name="_Toc440022829"/>
      <w:bookmarkStart w:id="469" w:name="_Toc377115421"/>
      <w:bookmarkStart w:id="470" w:name="_Toc20840"/>
      <w:bookmarkStart w:id="471" w:name="_Toc287620754"/>
      <w:bookmarkStart w:id="472" w:name="_Toc2340"/>
      <w:bookmarkStart w:id="473" w:name="_Toc407195381"/>
      <w:bookmarkStart w:id="474" w:name="_Toc330569208"/>
      <w:bookmarkStart w:id="475" w:name="_Toc287607815"/>
      <w:bookmarkStart w:id="476" w:name="_Toc1387"/>
      <w:bookmarkStart w:id="477" w:name="_Toc6503"/>
      <w:bookmarkStart w:id="478" w:name="_Toc377067341"/>
      <w:bookmarkStart w:id="479" w:name="_Toc376114122"/>
      <w:r>
        <w:rPr>
          <w:rFonts w:hint="eastAsia" w:asciiTheme="majorEastAsia" w:hAnsiTheme="majorEastAsia" w:eastAsiaTheme="majorEastAsia" w:cstheme="majorEastAsia"/>
          <w:sz w:val="21"/>
          <w:szCs w:val="21"/>
        </w:rPr>
        <w:t>2.2 分值构成与评分标准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E6C0C67">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2.2.1 分值构成</w:t>
      </w:r>
    </w:p>
    <w:p w14:paraId="242DE81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见评审办法前附表。 </w:t>
      </w:r>
    </w:p>
    <w:p w14:paraId="2A5B0430">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bookmarkStart w:id="480" w:name="_Toc277082622"/>
      <w:bookmarkStart w:id="481" w:name="_Toc9488"/>
      <w:bookmarkStart w:id="482" w:name="_Toc287620755"/>
      <w:bookmarkStart w:id="483" w:name="_Toc376114123"/>
      <w:bookmarkStart w:id="484" w:name="_Toc12538"/>
      <w:bookmarkStart w:id="485" w:name="_Toc15132"/>
      <w:bookmarkStart w:id="486" w:name="_Toc330569209"/>
      <w:bookmarkStart w:id="487" w:name="_Toc14353"/>
      <w:bookmarkStart w:id="488" w:name="_Toc440022830"/>
      <w:bookmarkStart w:id="489" w:name="_Toc407195382"/>
      <w:bookmarkStart w:id="490" w:name="_Toc287607816"/>
      <w:bookmarkStart w:id="491" w:name="_Toc200513202"/>
      <w:bookmarkStart w:id="492" w:name="_Toc444155971"/>
      <w:bookmarkStart w:id="493" w:name="_Toc8004"/>
      <w:bookmarkStart w:id="494" w:name="_Toc377067342"/>
      <w:bookmarkStart w:id="495" w:name="_Toc224103388"/>
      <w:bookmarkStart w:id="496" w:name="_Toc377115422"/>
      <w:r>
        <w:rPr>
          <w:rFonts w:hint="eastAsia" w:asciiTheme="majorEastAsia" w:hAnsiTheme="majorEastAsia" w:eastAsiaTheme="majorEastAsia" w:cstheme="majorEastAsia"/>
          <w:kern w:val="0"/>
          <w:szCs w:val="21"/>
        </w:rPr>
        <w:t>2.2.2 评审基准价计算</w:t>
      </w:r>
    </w:p>
    <w:p w14:paraId="41AAD09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评审基准价计算方法：见评审办法前附表。</w:t>
      </w:r>
    </w:p>
    <w:p w14:paraId="2C266BAD">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2.2.3 </w:t>
      </w:r>
      <w:bookmarkStart w:id="497" w:name="OLE_LINK155"/>
      <w:bookmarkStart w:id="498" w:name="OLE_LINK154"/>
      <w:bookmarkStart w:id="499" w:name="OLE_LINK152"/>
      <w:bookmarkStart w:id="500" w:name="OLE_LINK153"/>
      <w:r>
        <w:rPr>
          <w:rFonts w:hint="eastAsia" w:asciiTheme="majorEastAsia" w:hAnsiTheme="majorEastAsia" w:eastAsiaTheme="majorEastAsia" w:cstheme="majorEastAsia"/>
          <w:kern w:val="0"/>
          <w:szCs w:val="21"/>
        </w:rPr>
        <w:t>比选申请报价的偏差率计算</w:t>
      </w:r>
      <w:bookmarkEnd w:id="497"/>
      <w:bookmarkEnd w:id="498"/>
      <w:bookmarkEnd w:id="499"/>
      <w:bookmarkEnd w:id="500"/>
    </w:p>
    <w:p w14:paraId="60DF8FC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比选申请报价的偏差率计算公式：见评审办法前附表。</w:t>
      </w:r>
    </w:p>
    <w:p w14:paraId="1857AB40">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 评分标准</w:t>
      </w:r>
    </w:p>
    <w:p w14:paraId="31F1D1A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（1）比选申请报价评分标准：见评审办法前附表；</w:t>
      </w:r>
    </w:p>
    <w:p w14:paraId="7E3925BD">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（2）技术部分评分标准：见评审办法前附表；</w:t>
      </w:r>
    </w:p>
    <w:p w14:paraId="7DA75473">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（2）商务部分评分标准：见评审办法前附表。</w:t>
      </w:r>
    </w:p>
    <w:p w14:paraId="3BDA6D43">
      <w:pPr>
        <w:pStyle w:val="3"/>
        <w:rPr>
          <w:rFonts w:asciiTheme="majorEastAsia" w:hAnsiTheme="majorEastAsia" w:eastAsiaTheme="majorEastAsia" w:cstheme="majorEastAsia"/>
          <w:snapToGrid w:val="0"/>
          <w:spacing w:val="0"/>
          <w:w w:val="100"/>
          <w:sz w:val="21"/>
          <w:szCs w:val="21"/>
        </w:rPr>
      </w:pPr>
      <w:r>
        <w:rPr>
          <w:rFonts w:hint="eastAsia" w:asciiTheme="majorEastAsia" w:hAnsiTheme="majorEastAsia" w:eastAsiaTheme="majorEastAsia" w:cstheme="majorEastAsia"/>
          <w:snapToGrid w:val="0"/>
          <w:spacing w:val="0"/>
          <w:w w:val="100"/>
          <w:sz w:val="21"/>
          <w:szCs w:val="21"/>
        </w:rPr>
        <w:t>3. 评审程序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1A583241">
      <w:pPr>
        <w:pStyle w:val="4"/>
        <w:snapToGrid w:val="0"/>
        <w:spacing w:before="0" w:line="360" w:lineRule="auto"/>
        <w:rPr>
          <w:rFonts w:asciiTheme="majorEastAsia" w:hAnsiTheme="majorEastAsia" w:eastAsiaTheme="majorEastAsia" w:cstheme="majorEastAsia"/>
          <w:sz w:val="21"/>
          <w:szCs w:val="21"/>
        </w:rPr>
      </w:pPr>
      <w:bookmarkStart w:id="501" w:name="_Toc376114124"/>
      <w:bookmarkStart w:id="502" w:name="_Toc444155972"/>
      <w:bookmarkStart w:id="503" w:name="_Toc224103389"/>
      <w:bookmarkStart w:id="504" w:name="_Toc200513203"/>
      <w:bookmarkStart w:id="505" w:name="_Toc330569210"/>
      <w:bookmarkStart w:id="506" w:name="_Toc9683"/>
      <w:bookmarkStart w:id="507" w:name="_Toc287607817"/>
      <w:bookmarkStart w:id="508" w:name="_Toc277082623"/>
      <w:bookmarkStart w:id="509" w:name="_Toc377067343"/>
      <w:bookmarkStart w:id="510" w:name="_Toc407195383"/>
      <w:bookmarkStart w:id="511" w:name="_Toc377115423"/>
      <w:bookmarkStart w:id="512" w:name="_Toc440022831"/>
      <w:bookmarkStart w:id="513" w:name="_Toc13851"/>
      <w:bookmarkStart w:id="514" w:name="_Toc287620756"/>
      <w:bookmarkStart w:id="515" w:name="_Toc6448"/>
      <w:bookmarkStart w:id="516" w:name="_Toc22279"/>
      <w:r>
        <w:rPr>
          <w:rFonts w:hint="eastAsia" w:asciiTheme="majorEastAsia" w:hAnsiTheme="majorEastAsia" w:eastAsiaTheme="majorEastAsia" w:cstheme="majorEastAsia"/>
          <w:sz w:val="21"/>
          <w:szCs w:val="21"/>
        </w:rPr>
        <w:t>3.1 初步评审</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5B5C82">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bookmarkStart w:id="517" w:name="_Toc407195384"/>
      <w:bookmarkStart w:id="518" w:name="_Toc373172234"/>
      <w:bookmarkStart w:id="519" w:name="_Toc377067344"/>
      <w:bookmarkStart w:id="520" w:name="_Toc373264792"/>
      <w:bookmarkStart w:id="521" w:name="_Toc354387014"/>
      <w:bookmarkStart w:id="522" w:name="_Toc331232649"/>
      <w:bookmarkStart w:id="523" w:name="_Toc334002333"/>
      <w:bookmarkStart w:id="524" w:name="_Toc356243677"/>
      <w:bookmarkStart w:id="525" w:name="_Toc356484119"/>
      <w:bookmarkStart w:id="526" w:name="_Toc440022832"/>
      <w:bookmarkStart w:id="527" w:name="_Toc332015984"/>
      <w:bookmarkStart w:id="528" w:name="_Toc377115424"/>
      <w:bookmarkStart w:id="529" w:name="_Toc444155973"/>
      <w:bookmarkStart w:id="530" w:name="_Toc331232467"/>
      <w:bookmarkStart w:id="531" w:name="_Toc332028970"/>
      <w:bookmarkStart w:id="532" w:name="_Toc330569211"/>
      <w:bookmarkStart w:id="533" w:name="_Toc332380970"/>
      <w:bookmarkStart w:id="534" w:name="_Toc376114125"/>
      <w:bookmarkStart w:id="535" w:name="_Toc27164"/>
      <w:r>
        <w:rPr>
          <w:rFonts w:hint="eastAsia" w:asciiTheme="majorEastAsia" w:hAnsiTheme="majorEastAsia" w:eastAsiaTheme="majorEastAsia" w:cstheme="majorEastAsia"/>
          <w:kern w:val="0"/>
          <w:szCs w:val="21"/>
        </w:rPr>
        <w:t>3.1.1 评审小组依据本章第2.1款规定的标准对比选申请文件进行初步评审。有一项不符合评审标准的，作否决比选处理。</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3CE79C8">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3.1.2 比选申请人有以下情形之一的，其比选申请作否决比选处理：</w:t>
      </w:r>
    </w:p>
    <w:p w14:paraId="405B8DF4">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（1）第二章“比选申请人须知”第1.4.3项规定的任何一种情形的；</w:t>
      </w:r>
    </w:p>
    <w:p w14:paraId="7FC18A54">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（2）串通比选申请或弄虚作假或有其他违法行为的；</w:t>
      </w:r>
    </w:p>
    <w:p w14:paraId="0D038695">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（3）不按评审小组要求澄清、说明或补正的。</w:t>
      </w:r>
    </w:p>
    <w:p w14:paraId="7DBCB032">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（4）本竞争性比选文件约定的其它情形。</w:t>
      </w:r>
    </w:p>
    <w:p w14:paraId="40371C1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3.1.3 比选申请报价有算术错误的，评审小组按以下原则对比选申请报价进行修正，修正的价格经比选申请人书面确认后具有约束力。比选申请人不接受修正价格的，其比选申请作否决比选处理。修正原则如下：</w:t>
      </w:r>
    </w:p>
    <w:p w14:paraId="3477F570">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①比选申请文件中的大写金额与小写金额不一致的，以大写金额为准；</w:t>
      </w:r>
    </w:p>
    <w:p w14:paraId="65AD2ABF">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②总价金额与依据单价计算出的结果不一致的，以单价金额为准修正总价（但单价金额小数点有明显错误的除外）；单价金额小数点有明显错误的，以总价为准，对单价予以修正。</w:t>
      </w:r>
    </w:p>
    <w:p w14:paraId="4C14C7E4">
      <w:pPr>
        <w:autoSpaceDE w:val="0"/>
        <w:autoSpaceDN w:val="0"/>
        <w:adjustRightInd w:val="0"/>
        <w:snapToGrid w:val="0"/>
        <w:spacing w:line="360" w:lineRule="auto"/>
        <w:ind w:firstLine="535" w:firstLineChars="255"/>
        <w:jc w:val="left"/>
        <w:rPr>
          <w:rFonts w:eastAsiaTheme="majorEastAsia"/>
        </w:rPr>
      </w:pPr>
      <w:r>
        <w:rPr>
          <w:rFonts w:hint="eastAsia" w:asciiTheme="majorEastAsia" w:hAnsiTheme="majorEastAsia" w:eastAsiaTheme="majorEastAsia" w:cstheme="majorEastAsia"/>
          <w:kern w:val="0"/>
          <w:szCs w:val="21"/>
        </w:rPr>
        <w:t>③如不含税比选申请报价与含税比选申请报价出现算数错误，以不含税比选申请报价为准。</w:t>
      </w:r>
    </w:p>
    <w:p w14:paraId="1689FBC0">
      <w:pPr>
        <w:pStyle w:val="4"/>
        <w:snapToGrid w:val="0"/>
        <w:spacing w:before="0" w:line="360" w:lineRule="auto"/>
        <w:rPr>
          <w:rFonts w:asciiTheme="majorEastAsia" w:hAnsiTheme="majorEastAsia" w:eastAsiaTheme="majorEastAsia" w:cstheme="majorEastAsia"/>
          <w:sz w:val="21"/>
          <w:szCs w:val="21"/>
        </w:rPr>
      </w:pPr>
      <w:bookmarkStart w:id="536" w:name="_Toc376114126"/>
      <w:bookmarkStart w:id="537" w:name="_Toc377115425"/>
      <w:bookmarkStart w:id="538" w:name="_Toc277082624"/>
      <w:bookmarkStart w:id="539" w:name="_Toc200513204"/>
      <w:bookmarkStart w:id="540" w:name="_Toc29925"/>
      <w:bookmarkStart w:id="541" w:name="_Toc407195385"/>
      <w:bookmarkStart w:id="542" w:name="_Toc11246"/>
      <w:bookmarkStart w:id="543" w:name="_Toc224103390"/>
      <w:bookmarkStart w:id="544" w:name="_Toc377067345"/>
      <w:bookmarkStart w:id="545" w:name="_Toc287620757"/>
      <w:bookmarkStart w:id="546" w:name="_Toc19604"/>
      <w:bookmarkStart w:id="547" w:name="_Toc330569212"/>
      <w:bookmarkStart w:id="548" w:name="_Toc22246"/>
      <w:bookmarkStart w:id="549" w:name="_Toc444155974"/>
      <w:bookmarkStart w:id="550" w:name="_Toc287607818"/>
      <w:bookmarkStart w:id="551" w:name="_Toc440022833"/>
      <w:r>
        <w:rPr>
          <w:rFonts w:hint="eastAsia" w:asciiTheme="majorEastAsia" w:hAnsiTheme="majorEastAsia" w:eastAsiaTheme="majorEastAsia" w:cstheme="majorEastAsia"/>
          <w:sz w:val="21"/>
          <w:szCs w:val="21"/>
        </w:rPr>
        <w:t>3.2 详细评审</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3BADBA16">
      <w:pPr>
        <w:autoSpaceDE w:val="0"/>
        <w:autoSpaceDN w:val="0"/>
        <w:adjustRightInd w:val="0"/>
        <w:snapToGrid w:val="0"/>
        <w:spacing w:line="360" w:lineRule="auto"/>
        <w:ind w:firstLine="532"/>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3.2.1 评审小组按本章第3.2款规定的量化因素和分值进行打分，并计算出综合评估得分。</w:t>
      </w:r>
    </w:p>
    <w:p w14:paraId="624D9B0A">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（1）按本章第3.2.1（1）目规定的评审因素和分值对比选申请报价计算出得分A；</w:t>
      </w:r>
    </w:p>
    <w:p w14:paraId="68C6843F">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（2）按本章第3.2.1（2）目规定的评审因素和分值对技术部分计算出得分B；</w:t>
      </w:r>
    </w:p>
    <w:p w14:paraId="7FFB44EC">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（2）按本章第3.2.1（3）目规定的评审因素和分值对商务部分计算出得分C；</w:t>
      </w:r>
    </w:p>
    <w:p w14:paraId="7621D53F">
      <w:pPr>
        <w:autoSpaceDE w:val="0"/>
        <w:autoSpaceDN w:val="0"/>
        <w:adjustRightInd w:val="0"/>
        <w:snapToGrid w:val="0"/>
        <w:spacing w:line="360" w:lineRule="auto"/>
        <w:ind w:firstLine="518"/>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3.2.2 评分分值计算保留小数点后两位，小数点后第三位“四舍五入”。</w:t>
      </w:r>
    </w:p>
    <w:p w14:paraId="4921DB9B">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bookmarkStart w:id="552" w:name="_Toc1080"/>
      <w:bookmarkStart w:id="553" w:name="_Toc287607819"/>
      <w:bookmarkStart w:id="554" w:name="_Toc277082625"/>
      <w:bookmarkStart w:id="555" w:name="_Toc330569213"/>
      <w:bookmarkStart w:id="556" w:name="_Toc18708"/>
      <w:bookmarkStart w:id="557" w:name="_Toc377115426"/>
      <w:bookmarkStart w:id="558" w:name="_Toc224103391"/>
      <w:bookmarkStart w:id="559" w:name="_Toc407195386"/>
      <w:bookmarkStart w:id="560" w:name="_Toc20948"/>
      <w:bookmarkStart w:id="561" w:name="_Toc444155975"/>
      <w:bookmarkStart w:id="562" w:name="_Toc29261"/>
      <w:bookmarkStart w:id="563" w:name="_Toc287620758"/>
      <w:bookmarkStart w:id="564" w:name="_Toc376114127"/>
      <w:bookmarkStart w:id="565" w:name="_Toc440022834"/>
      <w:bookmarkStart w:id="566" w:name="_Toc200513205"/>
      <w:bookmarkStart w:id="567" w:name="_Toc377067346"/>
      <w:r>
        <w:rPr>
          <w:rFonts w:hint="eastAsia" w:asciiTheme="majorEastAsia" w:hAnsiTheme="majorEastAsia" w:eastAsiaTheme="majorEastAsia" w:cstheme="majorEastAsia"/>
          <w:kern w:val="0"/>
          <w:szCs w:val="21"/>
        </w:rPr>
        <w:t>3.2.3 比选申请人得分=A+B。</w:t>
      </w:r>
    </w:p>
    <w:p w14:paraId="18A70AC0">
      <w:pPr>
        <w:pStyle w:val="4"/>
        <w:snapToGrid w:val="0"/>
        <w:spacing w:before="0" w:line="360" w:lineRule="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3.3 比选申请文件的澄清和补正</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BCEA81E">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3.3.1 在评审过程中，评审小组可以书面形式要求比选申请人对所提交比选申请文件中不明确的内容进行书面澄清或说明，或者对细微偏差进行补正。评审小组不接受比选申请人主动提出的澄清、说明或补正。</w:t>
      </w:r>
    </w:p>
    <w:p w14:paraId="2A221974">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3.3.2 澄清、说明和补正不得改变比选申请文件的实质性内容（算术性错误修正的除外）。比选申请人的书面澄清、说明和补正属于比选申请文件的组成部分。</w:t>
      </w:r>
    </w:p>
    <w:p w14:paraId="64C0FD40">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3.3.3 评审小组对比选申请人提交的澄清、说明或补正有疑问的，可以要求比选申请人进一步澄清、说明或补正，直至满足评审小组的要求。</w:t>
      </w:r>
    </w:p>
    <w:p w14:paraId="09ADD61F">
      <w:pPr>
        <w:pStyle w:val="4"/>
        <w:snapToGrid w:val="0"/>
        <w:spacing w:before="0" w:line="360" w:lineRule="auto"/>
        <w:rPr>
          <w:rFonts w:asciiTheme="majorEastAsia" w:hAnsiTheme="majorEastAsia" w:eastAsiaTheme="majorEastAsia" w:cstheme="majorEastAsia"/>
          <w:sz w:val="21"/>
          <w:szCs w:val="21"/>
        </w:rPr>
      </w:pPr>
      <w:bookmarkStart w:id="568" w:name="_Toc31270"/>
      <w:bookmarkStart w:id="569" w:name="_Toc376114128"/>
      <w:bookmarkStart w:id="570" w:name="_Toc30672"/>
      <w:bookmarkStart w:id="571" w:name="_Toc287607820"/>
      <w:bookmarkStart w:id="572" w:name="_Toc224103392"/>
      <w:bookmarkStart w:id="573" w:name="_Toc407195387"/>
      <w:bookmarkStart w:id="574" w:name="_Toc287620759"/>
      <w:bookmarkStart w:id="575" w:name="_Toc444155976"/>
      <w:bookmarkStart w:id="576" w:name="_Toc19054"/>
      <w:bookmarkStart w:id="577" w:name="_Toc377115427"/>
      <w:bookmarkStart w:id="578" w:name="_Toc440022835"/>
      <w:bookmarkStart w:id="579" w:name="_Toc14840"/>
      <w:bookmarkStart w:id="580" w:name="_Toc200513206"/>
      <w:bookmarkStart w:id="581" w:name="_Toc277082626"/>
      <w:bookmarkStart w:id="582" w:name="_Toc330569214"/>
      <w:bookmarkStart w:id="583" w:name="_Toc377067347"/>
      <w:r>
        <w:rPr>
          <w:rFonts w:hint="eastAsia" w:asciiTheme="majorEastAsia" w:hAnsiTheme="majorEastAsia" w:eastAsiaTheme="majorEastAsia" w:cstheme="majorEastAsia"/>
          <w:sz w:val="21"/>
          <w:szCs w:val="21"/>
        </w:rPr>
        <w:t>3.4 评审结果</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4537BB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r>
        <w:rPr>
          <w:rFonts w:hint="eastAsia" w:asciiTheme="majorEastAsia" w:hAnsiTheme="majorEastAsia" w:eastAsiaTheme="majorEastAsia" w:cstheme="majorEastAsia"/>
          <w:spacing w:val="-1"/>
          <w:kern w:val="0"/>
          <w:szCs w:val="21"/>
        </w:rPr>
        <w:t>4</w:t>
      </w:r>
      <w:r>
        <w:rPr>
          <w:rFonts w:hint="eastAsia" w:asciiTheme="majorEastAsia" w:hAnsiTheme="majorEastAsia" w:eastAsiaTheme="majorEastAsia" w:cstheme="majorEastAsia"/>
          <w:kern w:val="0"/>
          <w:szCs w:val="21"/>
        </w:rPr>
        <w:t>.1 除第二章“比选申请人须知”前</w:t>
      </w:r>
      <w:r>
        <w:rPr>
          <w:rFonts w:hint="eastAsia" w:asciiTheme="majorEastAsia" w:hAnsiTheme="majorEastAsia" w:eastAsiaTheme="majorEastAsia" w:cstheme="majorEastAsia"/>
          <w:spacing w:val="1"/>
          <w:kern w:val="0"/>
          <w:szCs w:val="21"/>
        </w:rPr>
        <w:t>附</w:t>
      </w:r>
      <w:r>
        <w:rPr>
          <w:rFonts w:hint="eastAsia" w:asciiTheme="majorEastAsia" w:hAnsiTheme="majorEastAsia" w:eastAsiaTheme="majorEastAsia" w:cstheme="majorEastAsia"/>
          <w:kern w:val="0"/>
          <w:szCs w:val="21"/>
        </w:rPr>
        <w:t>表授权直</w:t>
      </w:r>
      <w:r>
        <w:rPr>
          <w:rFonts w:hint="eastAsia" w:asciiTheme="majorEastAsia" w:hAnsiTheme="majorEastAsia" w:eastAsiaTheme="majorEastAsia" w:cstheme="majorEastAsia"/>
          <w:spacing w:val="1"/>
          <w:kern w:val="0"/>
          <w:szCs w:val="21"/>
        </w:rPr>
        <w:t>接</w:t>
      </w:r>
      <w:r>
        <w:rPr>
          <w:rFonts w:hint="eastAsia" w:asciiTheme="majorEastAsia" w:hAnsiTheme="majorEastAsia" w:eastAsiaTheme="majorEastAsia" w:cstheme="majorEastAsia"/>
          <w:kern w:val="0"/>
          <w:szCs w:val="21"/>
        </w:rPr>
        <w:t>确定中选人外，评审小组按照</w:t>
      </w:r>
      <w:r>
        <w:rPr>
          <w:rFonts w:hint="eastAsia" w:asciiTheme="majorEastAsia" w:hAnsiTheme="majorEastAsia" w:eastAsiaTheme="majorEastAsia" w:cstheme="majorEastAsia"/>
          <w:spacing w:val="1"/>
          <w:kern w:val="0"/>
          <w:szCs w:val="21"/>
        </w:rPr>
        <w:t>得分</w:t>
      </w:r>
      <w:r>
        <w:rPr>
          <w:rFonts w:hint="eastAsia" w:asciiTheme="majorEastAsia" w:hAnsiTheme="majorEastAsia" w:eastAsiaTheme="majorEastAsia" w:cstheme="majorEastAsia"/>
          <w:kern w:val="0"/>
          <w:szCs w:val="21"/>
        </w:rPr>
        <w:t>由高到低的顺序推荐中选候选人。</w:t>
      </w:r>
    </w:p>
    <w:p w14:paraId="2F2B28C0">
      <w:pPr>
        <w:autoSpaceDE w:val="0"/>
        <w:autoSpaceDN w:val="0"/>
        <w:adjustRightInd w:val="0"/>
        <w:snapToGrid w:val="0"/>
        <w:spacing w:line="360" w:lineRule="auto"/>
        <w:ind w:firstLine="424" w:firstLineChars="20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pacing w:val="1"/>
          <w:kern w:val="0"/>
          <w:szCs w:val="21"/>
        </w:rPr>
        <w:t>3</w:t>
      </w:r>
      <w:r>
        <w:rPr>
          <w:rFonts w:hint="eastAsia" w:asciiTheme="majorEastAsia" w:hAnsiTheme="majorEastAsia" w:eastAsiaTheme="majorEastAsia" w:cstheme="majorEastAsia"/>
          <w:kern w:val="0"/>
          <w:szCs w:val="21"/>
        </w:rPr>
        <w:t>.4.2 评审小组完成评审后，应当向比选人提交书面评审报告。</w:t>
      </w:r>
    </w:p>
    <w:p w14:paraId="7A8A19DD">
      <w:pPr>
        <w:widowControl/>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br w:type="page"/>
      </w:r>
    </w:p>
    <w:p w14:paraId="216F54BD">
      <w:pPr>
        <w:outlineLvl w:val="1"/>
        <w:rPr>
          <w:rFonts w:asciiTheme="majorEastAsia" w:hAnsiTheme="majorEastAsia" w:eastAsiaTheme="majorEastAsia" w:cstheme="majorEastAsia"/>
        </w:rPr>
      </w:pPr>
      <w:bookmarkStart w:id="584" w:name="_Toc19078"/>
      <w:r>
        <w:rPr>
          <w:rFonts w:hint="eastAsia" w:asciiTheme="majorEastAsia" w:hAnsiTheme="majorEastAsia" w:eastAsiaTheme="majorEastAsia" w:cstheme="majorEastAsia"/>
        </w:rPr>
        <w:t>附件A：否决比选申请条件</w:t>
      </w:r>
      <w:bookmarkEnd w:id="584"/>
    </w:p>
    <w:p w14:paraId="3FDDB0EF">
      <w:pPr>
        <w:pStyle w:val="36"/>
        <w:spacing w:line="360" w:lineRule="auto"/>
        <w:rPr>
          <w:rFonts w:asciiTheme="majorEastAsia" w:hAnsiTheme="majorEastAsia" w:eastAsiaTheme="majorEastAsia" w:cstheme="majorEastAsia"/>
          <w:b/>
          <w:szCs w:val="21"/>
          <w:lang w:eastAsia="zh-CN"/>
        </w:rPr>
      </w:pPr>
      <w:bookmarkStart w:id="585" w:name="招标文件03章02评标办法综合评估法02附件02"/>
      <w:bookmarkEnd w:id="585"/>
      <w:bookmarkStart w:id="586" w:name="招标文件04章合同条款及格式"/>
      <w:bookmarkEnd w:id="586"/>
      <w:bookmarkStart w:id="587" w:name="_Toc230410480"/>
      <w:bookmarkStart w:id="588" w:name="_Toc277082627"/>
      <w:r>
        <w:rPr>
          <w:rFonts w:hint="eastAsia" w:asciiTheme="majorEastAsia" w:hAnsiTheme="majorEastAsia" w:eastAsiaTheme="majorEastAsia" w:cstheme="majorEastAsia"/>
          <w:b/>
          <w:szCs w:val="21"/>
          <w:lang w:eastAsia="zh-CN"/>
        </w:rPr>
        <w:t>附件A：否决比选申请情况一览表</w:t>
      </w:r>
      <w:bookmarkEnd w:id="587"/>
    </w:p>
    <w:p w14:paraId="3FD1E6E8">
      <w:pPr>
        <w:autoSpaceDE w:val="0"/>
        <w:autoSpaceDN w:val="0"/>
        <w:adjustRightInd w:val="0"/>
        <w:snapToGrid w:val="0"/>
        <w:spacing w:line="400" w:lineRule="exact"/>
        <w:ind w:firstLine="420" w:firstLineChars="200"/>
        <w:jc w:val="left"/>
        <w:rPr>
          <w:rFonts w:ascii="宋体" w:hAnsi="宋体"/>
          <w:b/>
          <w:kern w:val="0"/>
          <w:sz w:val="20"/>
        </w:rPr>
      </w:pPr>
      <w:r>
        <w:rPr>
          <w:rFonts w:hint="eastAsia" w:ascii="宋体" w:hAnsi="宋体"/>
          <w:szCs w:val="21"/>
        </w:rPr>
        <w:t>比选申请文件存在本一览表下列情形之一的，比选申请文件视为重大偏差并作否决比选申请处理，否则，评审委员会不得视为重大偏差而否决比选申请人的比选申请文件</w:t>
      </w:r>
      <w:r>
        <w:rPr>
          <w:rFonts w:ascii="宋体" w:hAnsi="宋体"/>
          <w:szCs w:val="21"/>
        </w:rPr>
        <w:t>。</w:t>
      </w:r>
    </w:p>
    <w:bookmarkEnd w:id="588"/>
    <w:tbl>
      <w:tblPr>
        <w:tblStyle w:val="50"/>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0"/>
        <w:gridCol w:w="1437"/>
        <w:gridCol w:w="6838"/>
      </w:tblGrid>
      <w:tr w14:paraId="0ACB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Align w:val="center"/>
          </w:tcPr>
          <w:p w14:paraId="73B38500">
            <w:pPr>
              <w:jc w:val="center"/>
              <w:rPr>
                <w:rFonts w:ascii="宋体" w:hAnsi="宋体" w:cs="宋体"/>
                <w:b/>
                <w:szCs w:val="21"/>
              </w:rPr>
            </w:pPr>
            <w:bookmarkStart w:id="589" w:name="_Toc16033"/>
            <w:bookmarkEnd w:id="589"/>
            <w:bookmarkStart w:id="590" w:name="_Toc12655"/>
            <w:bookmarkEnd w:id="590"/>
            <w:r>
              <w:rPr>
                <w:rFonts w:hint="eastAsia" w:ascii="宋体" w:hAnsi="宋体" w:cs="宋体"/>
                <w:b/>
                <w:szCs w:val="21"/>
              </w:rPr>
              <w:t>比选文件</w:t>
            </w:r>
          </w:p>
          <w:p w14:paraId="7D571264">
            <w:pPr>
              <w:jc w:val="center"/>
              <w:rPr>
                <w:rFonts w:ascii="宋体" w:hAnsi="宋体" w:cs="宋体"/>
                <w:b/>
                <w:szCs w:val="21"/>
              </w:rPr>
            </w:pPr>
            <w:r>
              <w:rPr>
                <w:rFonts w:hint="eastAsia" w:ascii="宋体" w:hAnsi="宋体" w:cs="宋体"/>
                <w:b/>
                <w:szCs w:val="21"/>
              </w:rPr>
              <w:t>章节号</w:t>
            </w:r>
          </w:p>
        </w:tc>
        <w:tc>
          <w:tcPr>
            <w:tcW w:w="1437" w:type="dxa"/>
            <w:vAlign w:val="center"/>
          </w:tcPr>
          <w:p w14:paraId="3CFD7320">
            <w:pPr>
              <w:jc w:val="center"/>
              <w:rPr>
                <w:rFonts w:ascii="宋体" w:hAnsi="宋体" w:cs="宋体"/>
                <w:b/>
                <w:szCs w:val="21"/>
              </w:rPr>
            </w:pPr>
            <w:r>
              <w:rPr>
                <w:rFonts w:hint="eastAsia" w:ascii="宋体" w:hAnsi="宋体" w:cs="宋体"/>
                <w:b/>
                <w:szCs w:val="21"/>
              </w:rPr>
              <w:t>条款名称</w:t>
            </w:r>
          </w:p>
        </w:tc>
        <w:tc>
          <w:tcPr>
            <w:tcW w:w="6838" w:type="dxa"/>
            <w:vAlign w:val="center"/>
          </w:tcPr>
          <w:p w14:paraId="17202835">
            <w:pPr>
              <w:spacing w:line="400" w:lineRule="exact"/>
              <w:jc w:val="center"/>
              <w:rPr>
                <w:rFonts w:ascii="宋体" w:hAnsi="宋体" w:cs="宋体"/>
                <w:b/>
                <w:szCs w:val="21"/>
              </w:rPr>
            </w:pPr>
            <w:r>
              <w:rPr>
                <w:rFonts w:hint="eastAsia" w:ascii="宋体" w:hAnsi="宋体" w:cs="宋体"/>
                <w:b/>
                <w:szCs w:val="21"/>
              </w:rPr>
              <w:t>否决比选申请条件</w:t>
            </w:r>
          </w:p>
        </w:tc>
      </w:tr>
      <w:tr w14:paraId="06922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Align w:val="center"/>
          </w:tcPr>
          <w:p w14:paraId="6111D1F2">
            <w:pPr>
              <w:jc w:val="center"/>
              <w:rPr>
                <w:rFonts w:ascii="宋体" w:hAnsi="宋体" w:cs="宋体"/>
                <w:szCs w:val="21"/>
              </w:rPr>
            </w:pPr>
            <w:r>
              <w:rPr>
                <w:rFonts w:hint="eastAsia" w:ascii="宋体" w:hAnsi="宋体" w:cs="宋体"/>
                <w:szCs w:val="21"/>
              </w:rPr>
              <w:t>第二章</w:t>
            </w:r>
          </w:p>
          <w:p w14:paraId="2A0054CB">
            <w:pPr>
              <w:jc w:val="center"/>
              <w:rPr>
                <w:rFonts w:ascii="宋体" w:hAnsi="宋体" w:cs="宋体"/>
                <w:b/>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须知前附表1.4.1</w:t>
            </w:r>
          </w:p>
        </w:tc>
        <w:tc>
          <w:tcPr>
            <w:tcW w:w="1437" w:type="dxa"/>
            <w:vAlign w:val="center"/>
          </w:tcPr>
          <w:p w14:paraId="36FB111A">
            <w:pPr>
              <w:jc w:val="center"/>
              <w:rPr>
                <w:rFonts w:ascii="宋体" w:hAnsi="宋体" w:cs="宋体"/>
                <w:b/>
                <w:szCs w:val="21"/>
              </w:rPr>
            </w:pPr>
            <w:r>
              <w:rPr>
                <w:rFonts w:hint="eastAsia" w:ascii="宋体" w:hAnsi="宋体" w:cs="宋体"/>
              </w:rPr>
              <w:t>比选申请人资质条件、能力和信誉</w:t>
            </w:r>
          </w:p>
        </w:tc>
        <w:tc>
          <w:tcPr>
            <w:tcW w:w="6838" w:type="dxa"/>
            <w:vAlign w:val="center"/>
          </w:tcPr>
          <w:p w14:paraId="67F19EED">
            <w:pPr>
              <w:spacing w:line="400" w:lineRule="exact"/>
              <w:ind w:firstLine="420" w:firstLineChars="200"/>
              <w:rPr>
                <w:rFonts w:ascii="宋体" w:hAnsi="宋体" w:cs="宋体"/>
                <w:b/>
                <w:szCs w:val="21"/>
              </w:rPr>
            </w:pPr>
            <w:r>
              <w:rPr>
                <w:rFonts w:hint="eastAsia" w:ascii="宋体" w:hAnsi="宋体" w:cs="宋体"/>
                <w:bCs/>
                <w:szCs w:val="21"/>
              </w:rPr>
              <w:t>比选申请人须满足比选申请人须知前附表1.4.1项的要求，否则由评审委员会作否决比选申请处理。</w:t>
            </w:r>
          </w:p>
        </w:tc>
      </w:tr>
      <w:tr w14:paraId="7487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520" w:type="dxa"/>
            <w:vAlign w:val="center"/>
          </w:tcPr>
          <w:p w14:paraId="3E3019CB">
            <w:pPr>
              <w:jc w:val="center"/>
              <w:rPr>
                <w:rFonts w:ascii="宋体" w:hAnsi="宋体" w:cs="宋体"/>
                <w:szCs w:val="21"/>
              </w:rPr>
            </w:pPr>
            <w:r>
              <w:rPr>
                <w:rFonts w:hint="eastAsia" w:ascii="宋体" w:hAnsi="宋体" w:cs="宋体"/>
                <w:szCs w:val="21"/>
              </w:rPr>
              <w:t>第二章</w:t>
            </w:r>
          </w:p>
          <w:p w14:paraId="1C9F6478">
            <w:pPr>
              <w:jc w:val="center"/>
              <w:rPr>
                <w:rFonts w:ascii="宋体" w:hAnsi="宋体" w:cs="宋体"/>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w:t>
            </w:r>
            <w:r>
              <w:rPr>
                <w:rFonts w:hint="eastAsia" w:ascii="宋体" w:hAnsi="宋体" w:cs="宋体"/>
                <w:szCs w:val="21"/>
              </w:rPr>
              <w:t>3.2</w:t>
            </w:r>
          </w:p>
        </w:tc>
        <w:tc>
          <w:tcPr>
            <w:tcW w:w="1437" w:type="dxa"/>
            <w:vAlign w:val="center"/>
          </w:tcPr>
          <w:p w14:paraId="02887367">
            <w:pPr>
              <w:jc w:val="center"/>
              <w:rPr>
                <w:rFonts w:ascii="宋体" w:hAnsi="宋体" w:cs="宋体"/>
                <w:szCs w:val="21"/>
              </w:rPr>
            </w:pPr>
            <w:r>
              <w:rPr>
                <w:rFonts w:hint="eastAsia" w:asciiTheme="majorEastAsia" w:hAnsiTheme="majorEastAsia" w:eastAsiaTheme="majorEastAsia" w:cstheme="majorEastAsia"/>
                <w:szCs w:val="21"/>
              </w:rPr>
              <w:t>包干</w:t>
            </w:r>
            <w:r>
              <w:rPr>
                <w:rFonts w:hint="eastAsia" w:ascii="宋体" w:hAnsi="宋体" w:cs="宋体"/>
                <w:szCs w:val="21"/>
              </w:rPr>
              <w:t>比选申请报价</w:t>
            </w:r>
          </w:p>
        </w:tc>
        <w:tc>
          <w:tcPr>
            <w:tcW w:w="6838" w:type="dxa"/>
            <w:vAlign w:val="center"/>
          </w:tcPr>
          <w:p w14:paraId="376CBE40">
            <w:pPr>
              <w:adjustRightInd w:val="0"/>
              <w:spacing w:line="400" w:lineRule="exact"/>
              <w:ind w:firstLine="420" w:firstLineChars="200"/>
              <w:rPr>
                <w:rFonts w:ascii="宋体" w:hAnsi="宋体" w:cs="宋体"/>
                <w:bCs/>
                <w:szCs w:val="21"/>
              </w:rPr>
            </w:pPr>
            <w:r>
              <w:rPr>
                <w:rFonts w:hint="eastAsia" w:asciiTheme="majorEastAsia" w:hAnsiTheme="majorEastAsia" w:eastAsiaTheme="majorEastAsia" w:cstheme="majorEastAsia"/>
                <w:szCs w:val="21"/>
              </w:rPr>
              <w:t>包干</w:t>
            </w:r>
            <w:r>
              <w:rPr>
                <w:rFonts w:hint="eastAsia" w:ascii="宋体" w:hAnsi="宋体" w:cs="宋体"/>
                <w:bCs/>
                <w:szCs w:val="21"/>
              </w:rPr>
              <w:t>含税比选申请总报价超过已公布的</w:t>
            </w:r>
            <w:r>
              <w:rPr>
                <w:rFonts w:hint="eastAsia" w:asciiTheme="majorEastAsia" w:hAnsiTheme="majorEastAsia" w:eastAsiaTheme="majorEastAsia" w:cstheme="majorEastAsia"/>
                <w:szCs w:val="21"/>
              </w:rPr>
              <w:t>包干</w:t>
            </w:r>
            <w:r>
              <w:rPr>
                <w:rFonts w:hint="eastAsia" w:ascii="宋体" w:hAnsi="宋体" w:cs="宋体"/>
                <w:bCs/>
                <w:szCs w:val="21"/>
              </w:rPr>
              <w:t>比选申请总报价最高限价、</w:t>
            </w:r>
            <w:r>
              <w:rPr>
                <w:rFonts w:hint="eastAsia" w:asciiTheme="majorEastAsia" w:hAnsiTheme="majorEastAsia" w:eastAsiaTheme="majorEastAsia" w:cstheme="majorEastAsia"/>
                <w:szCs w:val="21"/>
              </w:rPr>
              <w:t>包干</w:t>
            </w:r>
            <w:r>
              <w:rPr>
                <w:rFonts w:hint="eastAsia" w:ascii="宋体" w:hAnsi="宋体" w:cs="宋体"/>
                <w:bCs/>
                <w:szCs w:val="21"/>
              </w:rPr>
              <w:t>含税比选申请单价报价超过已公布的</w:t>
            </w:r>
            <w:r>
              <w:rPr>
                <w:rFonts w:hint="eastAsia" w:asciiTheme="majorEastAsia" w:hAnsiTheme="majorEastAsia" w:eastAsiaTheme="majorEastAsia" w:cstheme="majorEastAsia"/>
                <w:szCs w:val="21"/>
              </w:rPr>
              <w:t>包干</w:t>
            </w:r>
            <w:r>
              <w:rPr>
                <w:rFonts w:hint="eastAsia" w:ascii="宋体" w:hAnsi="宋体" w:cs="宋体"/>
                <w:bCs/>
                <w:szCs w:val="21"/>
              </w:rPr>
              <w:t>比选申请单价报价最高限价均由评审小组按否决比选申请处理。</w:t>
            </w:r>
          </w:p>
        </w:tc>
      </w:tr>
      <w:tr w14:paraId="255A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520" w:type="dxa"/>
            <w:vAlign w:val="center"/>
          </w:tcPr>
          <w:p w14:paraId="7F64BA11">
            <w:pPr>
              <w:jc w:val="center"/>
              <w:rPr>
                <w:rFonts w:ascii="宋体" w:hAnsi="宋体" w:cs="宋体"/>
                <w:szCs w:val="21"/>
              </w:rPr>
            </w:pPr>
            <w:r>
              <w:rPr>
                <w:rFonts w:hint="eastAsia" w:ascii="宋体" w:hAnsi="宋体" w:cs="宋体"/>
                <w:szCs w:val="21"/>
              </w:rPr>
              <w:t>第二章</w:t>
            </w:r>
          </w:p>
          <w:p w14:paraId="07D5309E">
            <w:pPr>
              <w:jc w:val="center"/>
              <w:rPr>
                <w:rFonts w:ascii="宋体" w:hAnsi="宋体" w:cs="宋体"/>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w:t>
            </w:r>
            <w:r>
              <w:rPr>
                <w:rFonts w:hint="eastAsia" w:ascii="宋体" w:hAnsi="宋体" w:cs="宋体"/>
                <w:szCs w:val="21"/>
              </w:rPr>
              <w:t>3.4</w:t>
            </w:r>
          </w:p>
        </w:tc>
        <w:tc>
          <w:tcPr>
            <w:tcW w:w="1437" w:type="dxa"/>
            <w:vAlign w:val="center"/>
          </w:tcPr>
          <w:p w14:paraId="1C16021A">
            <w:pPr>
              <w:jc w:val="center"/>
              <w:rPr>
                <w:rFonts w:asciiTheme="majorEastAsia" w:hAnsiTheme="majorEastAsia" w:eastAsiaTheme="majorEastAsia" w:cstheme="majorEastAsia"/>
                <w:szCs w:val="21"/>
              </w:rPr>
            </w:pPr>
            <w:r>
              <w:rPr>
                <w:rFonts w:hint="eastAsia" w:ascii="宋体" w:hAnsi="宋体" w:cs="宋体"/>
                <w:szCs w:val="21"/>
              </w:rPr>
              <w:t>比选申请保证金</w:t>
            </w:r>
          </w:p>
        </w:tc>
        <w:tc>
          <w:tcPr>
            <w:tcW w:w="6838" w:type="dxa"/>
            <w:vAlign w:val="center"/>
          </w:tcPr>
          <w:p w14:paraId="3D32C67F">
            <w:pPr>
              <w:adjustRightIn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符合第二章比选申请人须知前附表3.4的要求，</w:t>
            </w:r>
            <w:r>
              <w:rPr>
                <w:rFonts w:hint="eastAsia" w:ascii="宋体" w:hAnsi="宋体" w:cs="宋体"/>
                <w:szCs w:val="21"/>
              </w:rPr>
              <w:t>否则其比选申请将被否决。</w:t>
            </w:r>
          </w:p>
        </w:tc>
      </w:tr>
      <w:tr w14:paraId="6158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520" w:type="dxa"/>
            <w:vAlign w:val="center"/>
          </w:tcPr>
          <w:p w14:paraId="3487BE6B">
            <w:pPr>
              <w:jc w:val="center"/>
              <w:rPr>
                <w:rFonts w:ascii="宋体" w:hAnsi="宋体" w:cs="宋体"/>
                <w:szCs w:val="21"/>
              </w:rPr>
            </w:pPr>
            <w:r>
              <w:rPr>
                <w:rFonts w:hint="eastAsia" w:ascii="宋体" w:hAnsi="宋体" w:cs="宋体"/>
                <w:szCs w:val="21"/>
              </w:rPr>
              <w:t>第二章</w:t>
            </w:r>
          </w:p>
          <w:p w14:paraId="38819967">
            <w:pPr>
              <w:adjustRightInd w:val="0"/>
              <w:jc w:val="center"/>
              <w:rPr>
                <w:rFonts w:ascii="宋体" w:hAnsi="宋体" w:cs="宋体"/>
                <w:kern w:val="0"/>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须知前附表3.7.3</w:t>
            </w:r>
          </w:p>
        </w:tc>
        <w:tc>
          <w:tcPr>
            <w:tcW w:w="1437" w:type="dxa"/>
            <w:vAlign w:val="center"/>
          </w:tcPr>
          <w:p w14:paraId="10616280">
            <w:pPr>
              <w:adjustRightInd w:val="0"/>
              <w:jc w:val="center"/>
              <w:rPr>
                <w:rFonts w:ascii="宋体" w:hAnsi="宋体" w:cs="宋体"/>
                <w:kern w:val="0"/>
                <w:szCs w:val="21"/>
              </w:rPr>
            </w:pPr>
            <w:r>
              <w:rPr>
                <w:rFonts w:hint="eastAsia" w:ascii="宋体" w:hAnsi="宋体" w:cs="宋体"/>
                <w:kern w:val="0"/>
                <w:szCs w:val="21"/>
              </w:rPr>
              <w:t>比选申请文件的签章</w:t>
            </w:r>
          </w:p>
        </w:tc>
        <w:tc>
          <w:tcPr>
            <w:tcW w:w="6838" w:type="dxa"/>
            <w:vAlign w:val="center"/>
          </w:tcPr>
          <w:p w14:paraId="0C464EBF">
            <w:pPr>
              <w:autoSpaceDE w:val="0"/>
              <w:autoSpaceDN w:val="0"/>
              <w:adjustRightInd w:val="0"/>
              <w:spacing w:line="400" w:lineRule="exact"/>
              <w:ind w:firstLine="420" w:firstLineChars="200"/>
              <w:rPr>
                <w:rFonts w:ascii="宋体" w:hAnsi="宋体" w:cs="宋体"/>
                <w:kern w:val="0"/>
                <w:szCs w:val="21"/>
              </w:rPr>
            </w:pPr>
            <w:r>
              <w:rPr>
                <w:rFonts w:hint="eastAsia" w:ascii="宋体" w:hAnsi="宋体"/>
                <w:kern w:val="0"/>
              </w:rPr>
              <w:t>第七章 比选申请文件</w:t>
            </w:r>
            <w:r>
              <w:rPr>
                <w:rFonts w:ascii="宋体" w:hAnsi="宋体"/>
                <w:kern w:val="0"/>
              </w:rPr>
              <w:t>格式</w:t>
            </w:r>
            <w:r>
              <w:rPr>
                <w:rFonts w:hint="eastAsia" w:ascii="宋体" w:hAnsi="宋体" w:cs="宋体"/>
                <w:kern w:val="0"/>
                <w:szCs w:val="21"/>
              </w:rPr>
              <w:t>规定签名、盖章的位置有法定代表人或其委托代理人签名（或盖章）、加盖单位公章。</w:t>
            </w:r>
            <w:r>
              <w:rPr>
                <w:rFonts w:hint="eastAsia" w:ascii="宋体" w:hAnsi="宋体" w:cs="宋体"/>
                <w:szCs w:val="21"/>
              </w:rPr>
              <w:t>否则其比选申请将被否决。</w:t>
            </w:r>
          </w:p>
        </w:tc>
      </w:tr>
      <w:tr w14:paraId="30D7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20" w:type="dxa"/>
            <w:vMerge w:val="restart"/>
            <w:vAlign w:val="center"/>
          </w:tcPr>
          <w:p w14:paraId="26F5B52D">
            <w:pPr>
              <w:jc w:val="center"/>
              <w:rPr>
                <w:rFonts w:ascii="宋体" w:hAnsi="宋体" w:cs="宋体"/>
                <w:szCs w:val="21"/>
              </w:rPr>
            </w:pPr>
            <w:r>
              <w:rPr>
                <w:rFonts w:hint="eastAsia" w:ascii="宋体" w:hAnsi="宋体" w:cs="宋体"/>
                <w:szCs w:val="21"/>
              </w:rPr>
              <w:t>第三章3.1</w:t>
            </w:r>
          </w:p>
        </w:tc>
        <w:tc>
          <w:tcPr>
            <w:tcW w:w="1437" w:type="dxa"/>
            <w:vMerge w:val="restart"/>
            <w:vAlign w:val="center"/>
          </w:tcPr>
          <w:p w14:paraId="56A95F91">
            <w:pPr>
              <w:jc w:val="center"/>
              <w:rPr>
                <w:rFonts w:ascii="宋体" w:hAnsi="宋体" w:cs="宋体"/>
                <w:szCs w:val="21"/>
              </w:rPr>
            </w:pPr>
            <w:r>
              <w:rPr>
                <w:rFonts w:hint="eastAsia" w:ascii="宋体" w:hAnsi="宋体" w:cs="宋体"/>
                <w:szCs w:val="21"/>
              </w:rPr>
              <w:t>初步</w:t>
            </w:r>
          </w:p>
          <w:p w14:paraId="70516DB7">
            <w:pPr>
              <w:jc w:val="center"/>
              <w:rPr>
                <w:rFonts w:ascii="宋体" w:hAnsi="宋体" w:cs="宋体"/>
                <w:szCs w:val="21"/>
              </w:rPr>
            </w:pPr>
            <w:r>
              <w:rPr>
                <w:rFonts w:hint="eastAsia" w:ascii="宋体" w:hAnsi="宋体" w:cs="宋体"/>
                <w:szCs w:val="21"/>
              </w:rPr>
              <w:t>评审</w:t>
            </w:r>
          </w:p>
        </w:tc>
        <w:tc>
          <w:tcPr>
            <w:tcW w:w="6838" w:type="dxa"/>
            <w:vAlign w:val="center"/>
          </w:tcPr>
          <w:p w14:paraId="4ABAE72C">
            <w:pPr>
              <w:spacing w:line="400" w:lineRule="exact"/>
              <w:ind w:firstLine="420" w:firstLineChars="200"/>
              <w:rPr>
                <w:rFonts w:ascii="宋体" w:hAnsi="宋体" w:cs="宋体"/>
                <w:szCs w:val="21"/>
              </w:rPr>
            </w:pPr>
            <w:r>
              <w:rPr>
                <w:rFonts w:hint="eastAsia" w:ascii="宋体" w:hAnsi="宋体" w:cs="宋体"/>
                <w:kern w:val="0"/>
                <w:szCs w:val="21"/>
              </w:rPr>
              <w:t xml:space="preserve">评审委员会依据本章第 </w:t>
            </w:r>
            <w:r>
              <w:rPr>
                <w:rFonts w:hint="eastAsia" w:ascii="宋体" w:hAnsi="宋体" w:cs="宋体"/>
                <w:spacing w:val="1"/>
                <w:kern w:val="0"/>
                <w:szCs w:val="21"/>
              </w:rPr>
              <w:t>2</w:t>
            </w:r>
            <w:r>
              <w:rPr>
                <w:rFonts w:hint="eastAsia" w:ascii="宋体" w:hAnsi="宋体" w:cs="宋体"/>
                <w:spacing w:val="-1"/>
                <w:kern w:val="0"/>
                <w:szCs w:val="21"/>
              </w:rPr>
              <w:t>.</w:t>
            </w:r>
            <w:r>
              <w:rPr>
                <w:rFonts w:hint="eastAsia" w:ascii="宋体" w:hAnsi="宋体" w:cs="宋体"/>
                <w:kern w:val="0"/>
                <w:szCs w:val="21"/>
              </w:rPr>
              <w:t>1</w:t>
            </w:r>
            <w:r>
              <w:rPr>
                <w:rFonts w:hint="eastAsia" w:ascii="宋体" w:hAnsi="宋体" w:cs="宋体"/>
                <w:spacing w:val="1"/>
                <w:kern w:val="0"/>
                <w:szCs w:val="21"/>
              </w:rPr>
              <w:t xml:space="preserve"> </w:t>
            </w:r>
            <w:r>
              <w:rPr>
                <w:rFonts w:hint="eastAsia" w:ascii="宋体" w:hAnsi="宋体" w:cs="宋体"/>
                <w:spacing w:val="-1"/>
                <w:kern w:val="0"/>
                <w:szCs w:val="21"/>
              </w:rPr>
              <w:t>款</w:t>
            </w:r>
            <w:r>
              <w:rPr>
                <w:rFonts w:hint="eastAsia" w:ascii="宋体" w:hAnsi="宋体" w:cs="宋体"/>
                <w:kern w:val="0"/>
                <w:szCs w:val="21"/>
              </w:rPr>
              <w:t>规定的标准对比选申请文件进行初步评审。有一项不符合评审标准的，作否决比选申请处理。</w:t>
            </w:r>
          </w:p>
        </w:tc>
      </w:tr>
      <w:tr w14:paraId="7EC27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Merge w:val="continue"/>
          </w:tcPr>
          <w:p w14:paraId="7AC8364B">
            <w:pPr>
              <w:rPr>
                <w:rFonts w:ascii="宋体" w:hAnsi="宋体" w:cs="宋体"/>
                <w:szCs w:val="21"/>
              </w:rPr>
            </w:pPr>
          </w:p>
        </w:tc>
        <w:tc>
          <w:tcPr>
            <w:tcW w:w="1437" w:type="dxa"/>
            <w:vMerge w:val="continue"/>
          </w:tcPr>
          <w:p w14:paraId="26CB97AC">
            <w:pPr>
              <w:rPr>
                <w:rFonts w:ascii="宋体" w:hAnsi="宋体" w:cs="宋体"/>
                <w:szCs w:val="21"/>
              </w:rPr>
            </w:pPr>
          </w:p>
        </w:tc>
        <w:tc>
          <w:tcPr>
            <w:tcW w:w="6838" w:type="dxa"/>
            <w:vAlign w:val="center"/>
          </w:tcPr>
          <w:p w14:paraId="1A5D482D">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比选申请人有以下情形之一的，其比选申请作否决比选申请处理：</w:t>
            </w:r>
          </w:p>
          <w:p w14:paraId="72019CA0">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（1）第二章“比选申请人须知”第 1.4.3 项规定的任何一种情形的；</w:t>
            </w:r>
          </w:p>
          <w:p w14:paraId="2BEC99BE">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（2）串通比选申请或弄虚作假或有其他违法行为的；</w:t>
            </w:r>
          </w:p>
          <w:p w14:paraId="7E66E72B">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（3）不按评审委员会要求澄清、说明或补正的。</w:t>
            </w:r>
          </w:p>
          <w:p w14:paraId="3528F9D2">
            <w:pPr>
              <w:spacing w:line="400" w:lineRule="exact"/>
              <w:ind w:firstLine="420" w:firstLineChars="200"/>
              <w:rPr>
                <w:rFonts w:ascii="宋体" w:hAnsi="宋体" w:cs="宋体"/>
                <w:szCs w:val="21"/>
              </w:rPr>
            </w:pPr>
            <w:r>
              <w:rPr>
                <w:rFonts w:hint="eastAsia" w:ascii="宋体" w:hAnsi="宋体" w:cs="宋体"/>
                <w:kern w:val="0"/>
                <w:szCs w:val="21"/>
              </w:rPr>
              <w:t>（4）比选文件约定的其他情形。</w:t>
            </w:r>
          </w:p>
        </w:tc>
      </w:tr>
      <w:tr w14:paraId="54F7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Merge w:val="continue"/>
          </w:tcPr>
          <w:p w14:paraId="18441BE7">
            <w:pPr>
              <w:rPr>
                <w:rFonts w:ascii="宋体" w:hAnsi="宋体" w:cs="宋体"/>
                <w:szCs w:val="21"/>
              </w:rPr>
            </w:pPr>
          </w:p>
        </w:tc>
        <w:tc>
          <w:tcPr>
            <w:tcW w:w="1437" w:type="dxa"/>
            <w:vMerge w:val="continue"/>
          </w:tcPr>
          <w:p w14:paraId="14045736">
            <w:pPr>
              <w:rPr>
                <w:rFonts w:ascii="宋体" w:hAnsi="宋体" w:cs="宋体"/>
                <w:szCs w:val="21"/>
              </w:rPr>
            </w:pPr>
          </w:p>
        </w:tc>
        <w:tc>
          <w:tcPr>
            <w:tcW w:w="6838" w:type="dxa"/>
            <w:vAlign w:val="center"/>
          </w:tcPr>
          <w:p w14:paraId="595A9365">
            <w:pPr>
              <w:spacing w:line="400" w:lineRule="exact"/>
              <w:ind w:firstLine="420" w:firstLineChars="200"/>
              <w:rPr>
                <w:rFonts w:ascii="宋体" w:hAnsi="宋体" w:cs="宋体"/>
                <w:szCs w:val="21"/>
              </w:rPr>
            </w:pPr>
            <w:r>
              <w:rPr>
                <w:rFonts w:hint="eastAsia" w:ascii="宋体" w:hAnsi="宋体" w:cs="宋体"/>
                <w:kern w:val="0"/>
                <w:szCs w:val="21"/>
              </w:rPr>
              <w:t>比选申请报价有算术</w:t>
            </w:r>
            <w:r>
              <w:rPr>
                <w:rFonts w:hint="eastAsia" w:ascii="宋体" w:hAnsi="宋体" w:cs="宋体"/>
                <w:spacing w:val="1"/>
                <w:kern w:val="0"/>
                <w:szCs w:val="21"/>
              </w:rPr>
              <w:t>错</w:t>
            </w:r>
            <w:r>
              <w:rPr>
                <w:rFonts w:hint="eastAsia" w:ascii="宋体" w:hAnsi="宋体" w:cs="宋体"/>
                <w:kern w:val="0"/>
                <w:szCs w:val="21"/>
              </w:rPr>
              <w:t>误的，评审委员会按比选文件规定的原则对</w:t>
            </w:r>
            <w:r>
              <w:rPr>
                <w:rFonts w:hint="eastAsia" w:ascii="宋体" w:hAnsi="宋体" w:cs="宋体"/>
                <w:spacing w:val="1"/>
                <w:kern w:val="0"/>
                <w:szCs w:val="21"/>
              </w:rPr>
              <w:t>比选申请</w:t>
            </w:r>
            <w:r>
              <w:rPr>
                <w:rFonts w:hint="eastAsia" w:ascii="宋体" w:hAnsi="宋体" w:cs="宋体"/>
                <w:kern w:val="0"/>
                <w:szCs w:val="21"/>
              </w:rPr>
              <w:t>报价进</w:t>
            </w:r>
            <w:r>
              <w:rPr>
                <w:rFonts w:hint="eastAsia" w:ascii="宋体" w:hAnsi="宋体" w:cs="宋体"/>
                <w:spacing w:val="1"/>
                <w:kern w:val="0"/>
                <w:szCs w:val="21"/>
              </w:rPr>
              <w:t>行</w:t>
            </w:r>
            <w:r>
              <w:rPr>
                <w:rFonts w:hint="eastAsia" w:ascii="宋体" w:hAnsi="宋体" w:cs="宋体"/>
                <w:kern w:val="0"/>
                <w:szCs w:val="21"/>
              </w:rPr>
              <w:t>修正，修</w:t>
            </w:r>
            <w:r>
              <w:rPr>
                <w:rFonts w:hint="eastAsia" w:ascii="宋体" w:hAnsi="宋体" w:cs="宋体"/>
                <w:spacing w:val="1"/>
                <w:kern w:val="0"/>
                <w:szCs w:val="21"/>
              </w:rPr>
              <w:t>正的</w:t>
            </w:r>
            <w:r>
              <w:rPr>
                <w:rFonts w:hint="eastAsia" w:ascii="宋体" w:hAnsi="宋体" w:cs="宋体"/>
                <w:kern w:val="0"/>
                <w:szCs w:val="21"/>
              </w:rPr>
              <w:t>价格经比选申请人书面确认后具有约束力。比选申请人不接受修正价格的，其比选申请作否决比选申请处理。</w:t>
            </w:r>
          </w:p>
        </w:tc>
      </w:tr>
    </w:tbl>
    <w:p w14:paraId="459C5987">
      <w:pPr>
        <w:pStyle w:val="136"/>
        <w:ind w:firstLine="560"/>
      </w:pPr>
    </w:p>
    <w:p w14:paraId="7CE35EDB">
      <w:pPr>
        <w:pStyle w:val="2"/>
        <w:numPr>
          <w:ilvl w:val="0"/>
          <w:numId w:val="0"/>
        </w:numP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bCs/>
        </w:rPr>
        <w:br w:type="page"/>
      </w:r>
      <w:bookmarkStart w:id="591" w:name="_Toc27248"/>
      <w:bookmarkStart w:id="592" w:name="_Toc202469368"/>
      <w:r>
        <w:rPr>
          <w:rFonts w:hint="eastAsia" w:asciiTheme="majorEastAsia" w:hAnsiTheme="majorEastAsia" w:eastAsiaTheme="majorEastAsia" w:cstheme="majorEastAsia"/>
          <w:b/>
          <w:kern w:val="0"/>
          <w:sz w:val="36"/>
          <w:szCs w:val="36"/>
        </w:rPr>
        <w:t>第四章 合同条款</w:t>
      </w:r>
      <w:bookmarkEnd w:id="591"/>
      <w:bookmarkEnd w:id="592"/>
    </w:p>
    <w:p w14:paraId="68DCC9B0">
      <w:pPr>
        <w:widowControl/>
        <w:jc w:val="left"/>
        <w:rPr>
          <w:rFonts w:asciiTheme="majorEastAsia" w:hAnsiTheme="majorEastAsia" w:eastAsiaTheme="majorEastAsia" w:cstheme="majorEastAsia"/>
          <w:b/>
          <w:kern w:val="0"/>
          <w:sz w:val="36"/>
          <w:szCs w:val="36"/>
        </w:rPr>
      </w:pPr>
      <w:r>
        <w:rPr>
          <w:rFonts w:asciiTheme="majorEastAsia" w:hAnsiTheme="majorEastAsia" w:eastAsiaTheme="majorEastAsia" w:cstheme="majorEastAsia"/>
          <w:b/>
          <w:kern w:val="0"/>
          <w:sz w:val="36"/>
          <w:szCs w:val="36"/>
        </w:rPr>
        <w:br w:type="page"/>
      </w:r>
    </w:p>
    <w:p w14:paraId="00CA9967">
      <w:pPr>
        <w:pStyle w:val="167"/>
        <w:ind w:firstLine="480"/>
      </w:pPr>
    </w:p>
    <w:p w14:paraId="7A3D4D60">
      <w:pPr>
        <w:keepNext/>
        <w:tabs>
          <w:tab w:val="left" w:pos="3360"/>
        </w:tabs>
        <w:snapToGrid w:val="0"/>
        <w:spacing w:before="240" w:beforeLines="100" w:after="120" w:afterLines="50" w:line="460" w:lineRule="exact"/>
        <w:jc w:val="center"/>
        <w:rPr>
          <w:rFonts w:ascii="方正小标宋_GBK" w:eastAsia="方正小标宋_GBK"/>
          <w:sz w:val="44"/>
        </w:rPr>
      </w:pPr>
      <w:r>
        <w:rPr>
          <w:rFonts w:hint="eastAsia" w:ascii="方正小标宋_GBK" w:eastAsia="方正小标宋_GBK"/>
          <w:sz w:val="44"/>
        </w:rPr>
        <w:t>公租房小区电梯日常维保与维修包干服务合同</w:t>
      </w:r>
    </w:p>
    <w:p w14:paraId="2F5B2983">
      <w:pPr>
        <w:snapToGrid w:val="0"/>
        <w:spacing w:line="460" w:lineRule="exact"/>
        <w:ind w:firstLine="480" w:firstLineChars="200"/>
        <w:jc w:val="center"/>
        <w:rPr>
          <w:rFonts w:ascii="方正仿宋_GBK" w:hAnsi="宋体" w:eastAsia="方正仿宋_GBK"/>
          <w:sz w:val="24"/>
        </w:rPr>
      </w:pPr>
      <w:r>
        <w:rPr>
          <w:rFonts w:hint="eastAsia" w:ascii="方正仿宋_GBK" w:hAnsi="宋体" w:eastAsia="方正仿宋_GBK"/>
          <w:sz w:val="24"/>
        </w:rPr>
        <w:t xml:space="preserve">                   </w:t>
      </w:r>
      <w:r>
        <w:rPr>
          <w:rFonts w:ascii="方正仿宋_GBK" w:hAnsi="宋体" w:eastAsia="方正仿宋_GBK"/>
          <w:sz w:val="24"/>
        </w:rPr>
        <w:t xml:space="preserve">     </w:t>
      </w:r>
      <w:r>
        <w:rPr>
          <w:rFonts w:hint="eastAsia" w:ascii="方正仿宋_GBK" w:hAnsi="宋体" w:eastAsia="方正仿宋_GBK"/>
          <w:sz w:val="24"/>
        </w:rPr>
        <w:t xml:space="preserve">合同编号：           </w:t>
      </w:r>
    </w:p>
    <w:p w14:paraId="6A28B277">
      <w:pPr>
        <w:snapToGrid w:val="0"/>
        <w:spacing w:line="460" w:lineRule="exact"/>
        <w:ind w:firstLine="480" w:firstLineChars="200"/>
        <w:jc w:val="center"/>
        <w:rPr>
          <w:rFonts w:ascii="方正仿宋_GBK" w:hAnsi="宋体" w:eastAsia="方正仿宋_GBK"/>
          <w:sz w:val="24"/>
        </w:rPr>
      </w:pPr>
      <w:r>
        <w:rPr>
          <w:rFonts w:ascii="方正仿宋_GBK" w:hAnsi="宋体" w:eastAsia="方正仿宋_GBK"/>
          <w:sz w:val="24"/>
        </w:rPr>
        <w:t xml:space="preserve"> </w:t>
      </w:r>
    </w:p>
    <w:p w14:paraId="19FB401A">
      <w:pPr>
        <w:snapToGrid w:val="0"/>
        <w:spacing w:line="460" w:lineRule="exact"/>
        <w:ind w:firstLine="480" w:firstLineChars="200"/>
        <w:jc w:val="center"/>
        <w:rPr>
          <w:rFonts w:ascii="方正仿宋_GBK" w:hAnsi="宋体" w:eastAsia="方正仿宋_GBK"/>
          <w:sz w:val="24"/>
        </w:rPr>
      </w:pPr>
    </w:p>
    <w:p w14:paraId="1777E1EF">
      <w:pPr>
        <w:snapToGrid w:val="0"/>
        <w:spacing w:line="460" w:lineRule="exact"/>
        <w:ind w:firstLine="480" w:firstLineChars="200"/>
        <w:jc w:val="center"/>
        <w:rPr>
          <w:rFonts w:ascii="方正仿宋_GBK" w:hAnsi="宋体" w:eastAsia="方正仿宋_GBK"/>
          <w:sz w:val="24"/>
        </w:rPr>
      </w:pPr>
    </w:p>
    <w:p w14:paraId="142DF3D0">
      <w:pPr>
        <w:snapToGrid w:val="0"/>
        <w:spacing w:line="460" w:lineRule="exact"/>
        <w:ind w:firstLine="480" w:firstLineChars="200"/>
        <w:jc w:val="center"/>
        <w:rPr>
          <w:rFonts w:ascii="方正仿宋_GBK" w:hAnsi="宋体" w:eastAsia="方正仿宋_GBK"/>
          <w:sz w:val="24"/>
        </w:rPr>
      </w:pPr>
    </w:p>
    <w:p w14:paraId="2426779D">
      <w:pPr>
        <w:snapToGrid w:val="0"/>
        <w:spacing w:line="460" w:lineRule="exact"/>
        <w:ind w:firstLine="480" w:firstLineChars="200"/>
        <w:jc w:val="center"/>
        <w:rPr>
          <w:rFonts w:ascii="方正仿宋_GBK" w:hAnsi="宋体" w:eastAsia="方正仿宋_GBK"/>
          <w:sz w:val="24"/>
        </w:rPr>
      </w:pPr>
    </w:p>
    <w:p w14:paraId="7C02730E">
      <w:pPr>
        <w:snapToGrid w:val="0"/>
        <w:spacing w:line="460" w:lineRule="exact"/>
        <w:ind w:firstLine="480" w:firstLineChars="200"/>
        <w:jc w:val="center"/>
        <w:rPr>
          <w:rFonts w:ascii="方正仿宋_GBK" w:hAnsi="宋体" w:eastAsia="方正仿宋_GBK"/>
          <w:sz w:val="24"/>
        </w:rPr>
      </w:pPr>
    </w:p>
    <w:p w14:paraId="1BA7A197">
      <w:pPr>
        <w:snapToGrid w:val="0"/>
        <w:spacing w:line="460" w:lineRule="exact"/>
        <w:ind w:firstLine="480" w:firstLineChars="200"/>
        <w:jc w:val="center"/>
        <w:rPr>
          <w:rFonts w:ascii="方正仿宋_GBK" w:hAnsi="宋体" w:eastAsia="方正仿宋_GBK"/>
          <w:sz w:val="24"/>
        </w:rPr>
      </w:pPr>
    </w:p>
    <w:p w14:paraId="66DDDDA7">
      <w:pPr>
        <w:snapToGrid w:val="0"/>
        <w:spacing w:line="460" w:lineRule="exact"/>
        <w:ind w:firstLine="480" w:firstLineChars="200"/>
        <w:rPr>
          <w:rFonts w:ascii="方正仿宋_GBK" w:hAnsi="宋体" w:eastAsia="方正仿宋_GBK"/>
          <w:sz w:val="24"/>
        </w:rPr>
      </w:pPr>
      <w:r>
        <w:rPr>
          <w:rFonts w:hint="eastAsia" w:ascii="方正仿宋_GBK" w:hAnsi="宋体" w:eastAsia="方正仿宋_GBK"/>
          <w:sz w:val="24"/>
        </w:rPr>
        <w:t xml:space="preserve">甲    方：                                    </w:t>
      </w:r>
    </w:p>
    <w:p w14:paraId="54E86892">
      <w:pPr>
        <w:snapToGrid w:val="0"/>
        <w:spacing w:line="460" w:lineRule="exact"/>
        <w:ind w:firstLine="480" w:firstLineChars="200"/>
        <w:jc w:val="center"/>
        <w:rPr>
          <w:rFonts w:ascii="方正仿宋_GBK" w:hAnsi="宋体" w:eastAsia="方正仿宋_GBK"/>
          <w:sz w:val="24"/>
        </w:rPr>
      </w:pPr>
    </w:p>
    <w:p w14:paraId="71F72598">
      <w:pPr>
        <w:snapToGrid w:val="0"/>
        <w:spacing w:line="460" w:lineRule="exact"/>
        <w:ind w:firstLine="480" w:firstLineChars="200"/>
        <w:rPr>
          <w:rFonts w:ascii="方正仿宋_GBK" w:hAnsi="宋体" w:eastAsia="方正仿宋_GBK"/>
          <w:sz w:val="24"/>
        </w:rPr>
      </w:pPr>
      <w:r>
        <w:rPr>
          <w:rFonts w:hint="eastAsia" w:ascii="方正仿宋_GBK" w:hAnsi="宋体" w:eastAsia="方正仿宋_GBK"/>
          <w:sz w:val="24"/>
        </w:rPr>
        <w:t xml:space="preserve">乙    方：                                    </w:t>
      </w:r>
    </w:p>
    <w:p w14:paraId="4F0641DA">
      <w:pPr>
        <w:snapToGrid w:val="0"/>
        <w:spacing w:line="460" w:lineRule="exact"/>
        <w:ind w:firstLine="480" w:firstLineChars="200"/>
        <w:jc w:val="center"/>
        <w:rPr>
          <w:rFonts w:ascii="方正仿宋_GBK" w:hAnsi="宋体" w:eastAsia="方正仿宋_GBK"/>
          <w:sz w:val="24"/>
        </w:rPr>
      </w:pPr>
    </w:p>
    <w:p w14:paraId="2F1E1C81">
      <w:pPr>
        <w:snapToGrid w:val="0"/>
        <w:spacing w:line="460" w:lineRule="exact"/>
        <w:ind w:firstLine="480" w:firstLineChars="200"/>
        <w:rPr>
          <w:rFonts w:ascii="方正仿宋_GBK" w:hAnsi="宋体" w:eastAsia="方正仿宋_GBK"/>
          <w:sz w:val="24"/>
        </w:rPr>
      </w:pPr>
      <w:r>
        <w:rPr>
          <w:rFonts w:hint="eastAsia" w:ascii="方正仿宋_GBK" w:hAnsi="宋体" w:eastAsia="方正仿宋_GBK"/>
          <w:sz w:val="24"/>
        </w:rPr>
        <w:t xml:space="preserve">丙    方：                                    </w:t>
      </w:r>
    </w:p>
    <w:p w14:paraId="6EF66457">
      <w:pPr>
        <w:widowControl/>
        <w:jc w:val="left"/>
        <w:rPr>
          <w:rFonts w:ascii="方正仿宋_GBK" w:hAnsi="宋体" w:eastAsia="方正仿宋_GBK"/>
          <w:sz w:val="24"/>
        </w:rPr>
      </w:pPr>
      <w:r>
        <w:rPr>
          <w:rFonts w:ascii="方正仿宋_GBK" w:hAnsi="宋体" w:eastAsia="方正仿宋_GBK"/>
          <w:sz w:val="24"/>
        </w:rPr>
        <w:br w:type="page"/>
      </w:r>
    </w:p>
    <w:p w14:paraId="6370E27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相关用语说明</w:t>
      </w:r>
    </w:p>
    <w:p w14:paraId="675A92A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一．使用管理</w:t>
      </w:r>
    </w:p>
    <w:p w14:paraId="3B253B19">
      <w:pPr>
        <w:spacing w:line="460" w:lineRule="exact"/>
        <w:ind w:firstLine="480" w:firstLineChars="200"/>
        <w:rPr>
          <w:rFonts w:ascii="方正仿宋_GBK" w:hAnsi="宋体" w:eastAsia="方正仿宋_GBK"/>
          <w:sz w:val="24"/>
        </w:rPr>
      </w:pPr>
      <w:r>
        <w:rPr>
          <w:rFonts w:hint="eastAsia" w:ascii="方正仿宋_GBK" w:hAnsi="宋体" w:eastAsia="方正仿宋_GBK"/>
          <w:sz w:val="24"/>
        </w:rPr>
        <w:t>指按照《</w:t>
      </w:r>
      <w:r>
        <w:rPr>
          <w:rFonts w:hint="eastAsia" w:ascii="方正仿宋_GBK" w:hAnsi="方正仿宋_GBK" w:eastAsia="方正仿宋_GBK"/>
          <w:kern w:val="0"/>
          <w:sz w:val="24"/>
          <w:szCs w:val="44"/>
        </w:rPr>
        <w:t>电梯使用管理与维护保养规则</w:t>
      </w:r>
      <w:r>
        <w:rPr>
          <w:rFonts w:hint="eastAsia" w:ascii="方正仿宋_GBK" w:hAnsi="宋体" w:eastAsia="方正仿宋_GBK"/>
          <w:sz w:val="24"/>
        </w:rPr>
        <w:t>》（</w:t>
      </w:r>
      <w:r>
        <w:rPr>
          <w:rFonts w:hint="eastAsia" w:ascii="方正仿宋_GBK" w:hAnsi="方正仿宋_GBK" w:eastAsia="方正仿宋_GBK"/>
          <w:kern w:val="0"/>
          <w:sz w:val="24"/>
          <w:szCs w:val="44"/>
        </w:rPr>
        <w:t>TSGT50012009</w:t>
      </w:r>
      <w:r>
        <w:rPr>
          <w:rFonts w:hint="eastAsia" w:ascii="方正仿宋_GBK" w:hAnsi="宋体" w:eastAsia="方正仿宋_GBK"/>
          <w:sz w:val="24"/>
        </w:rPr>
        <w:t>)规定的电梯使用管理工作。</w:t>
      </w:r>
    </w:p>
    <w:p w14:paraId="221D5CF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二．日常维保</w:t>
      </w:r>
    </w:p>
    <w:p w14:paraId="27C2209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指按照《</w:t>
      </w:r>
      <w:r>
        <w:rPr>
          <w:rFonts w:hint="eastAsia" w:ascii="方正仿宋_GBK" w:hAnsi="方正仿宋_GBK" w:eastAsia="方正仿宋_GBK"/>
          <w:kern w:val="0"/>
          <w:sz w:val="24"/>
          <w:szCs w:val="44"/>
        </w:rPr>
        <w:t>电梯维护保养规则</w:t>
      </w:r>
      <w:r>
        <w:rPr>
          <w:rFonts w:hint="eastAsia" w:ascii="方正仿宋_GBK" w:hAnsi="宋体" w:eastAsia="方正仿宋_GBK"/>
          <w:sz w:val="24"/>
        </w:rPr>
        <w:t>》（</w:t>
      </w:r>
      <w:r>
        <w:rPr>
          <w:rFonts w:hint="eastAsia" w:ascii="方正仿宋_GBK" w:hAnsi="方正仿宋_GBK" w:eastAsia="方正仿宋_GBK"/>
          <w:kern w:val="0"/>
          <w:sz w:val="24"/>
          <w:szCs w:val="44"/>
        </w:rPr>
        <w:t>TSGT5002-2017</w:t>
      </w:r>
      <w:r>
        <w:rPr>
          <w:rFonts w:hint="eastAsia" w:ascii="方正仿宋_GBK" w:hAnsi="宋体" w:eastAsia="方正仿宋_GBK"/>
          <w:sz w:val="24"/>
        </w:rPr>
        <w:t>)规定的电梯日常维护保养工作。</w:t>
      </w:r>
    </w:p>
    <w:p w14:paraId="56F3418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三．日常维修</w:t>
      </w:r>
    </w:p>
    <w:p w14:paraId="7CA0E3B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指在电梯正常运行发生故障或损坏后，承担所需维修或更换的零配件材料费、运输费、人工费，并完成维修服务。</w:t>
      </w:r>
    </w:p>
    <w:p w14:paraId="35F00C9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四．包干服务</w:t>
      </w:r>
    </w:p>
    <w:p w14:paraId="210AD79D">
      <w:pPr>
        <w:snapToGrid w:val="0"/>
        <w:spacing w:line="460" w:lineRule="exact"/>
        <w:ind w:firstLine="482" w:firstLineChars="200"/>
        <w:jc w:val="left"/>
        <w:rPr>
          <w:rFonts w:ascii="方正仿宋_GBK" w:hAnsi="宋体" w:eastAsia="方正仿宋_GBK"/>
          <w:sz w:val="24"/>
        </w:rPr>
      </w:pPr>
      <w:r>
        <w:rPr>
          <w:rFonts w:hint="eastAsia" w:ascii="方正仿宋_GBK" w:hAnsi="宋体" w:eastAsia="方正仿宋_GBK"/>
          <w:b/>
          <w:bCs/>
          <w:sz w:val="24"/>
        </w:rPr>
        <w:t>每台电梯包干维保费按照</w:t>
      </w:r>
      <w:r>
        <w:rPr>
          <w:rFonts w:ascii="方正仿宋_GBK" w:hAnsi="宋体" w:eastAsia="方正仿宋_GBK"/>
          <w:b/>
          <w:bCs/>
          <w:sz w:val="24"/>
          <w:u w:val="single"/>
        </w:rPr>
        <w:t xml:space="preserve">      </w:t>
      </w:r>
      <w:r>
        <w:rPr>
          <w:rFonts w:hint="eastAsia" w:ascii="方正仿宋_GBK" w:hAnsi="宋体" w:eastAsia="方正仿宋_GBK"/>
          <w:b/>
          <w:bCs/>
          <w:sz w:val="24"/>
        </w:rPr>
        <w:t>元/台.月，包干维修费按照</w:t>
      </w:r>
      <w:r>
        <w:rPr>
          <w:rFonts w:ascii="方正仿宋_GBK" w:hAnsi="宋体" w:eastAsia="方正仿宋_GBK"/>
          <w:b/>
          <w:bCs/>
          <w:sz w:val="24"/>
          <w:u w:val="single"/>
        </w:rPr>
        <w:t xml:space="preserve">      </w:t>
      </w:r>
      <w:r>
        <w:rPr>
          <w:rFonts w:hint="eastAsia" w:ascii="方正仿宋_GBK" w:hAnsi="宋体" w:eastAsia="方正仿宋_GBK"/>
          <w:b/>
          <w:bCs/>
          <w:sz w:val="24"/>
        </w:rPr>
        <w:t>元/台.月</w:t>
      </w:r>
      <w:r>
        <w:rPr>
          <w:rFonts w:hint="eastAsia" w:ascii="方正仿宋_GBK" w:hAnsi="宋体" w:eastAsia="方正仿宋_GBK"/>
          <w:sz w:val="24"/>
        </w:rPr>
        <w:t>支付费用进行包干服务，不再另行支付其他费用。其中，本项目每台电梯维保费用由城南家园公租房物业服务公司支付，本项目每台电梯包干维修费用由重庆渝开发物业管理有限公司支付，</w:t>
      </w:r>
      <w:r>
        <w:rPr>
          <w:rFonts w:hint="eastAsia" w:ascii="方正仿宋_GBK" w:hAnsi="宋体" w:eastAsia="方正仿宋_GBK"/>
          <w:bCs/>
          <w:sz w:val="24"/>
        </w:rPr>
        <w:t>以上费用均按中选总报价与本项目总报价最高限价的下浮比例同比例下浮后各自据实结算后分别支付</w:t>
      </w:r>
      <w:r>
        <w:rPr>
          <w:rFonts w:hint="eastAsia" w:ascii="方正仿宋_GBK" w:hAnsi="宋体" w:eastAsia="方正仿宋_GBK"/>
          <w:sz w:val="24"/>
        </w:rPr>
        <w:t>。</w:t>
      </w:r>
      <w:r>
        <w:rPr>
          <w:rFonts w:hint="eastAsia" w:ascii="方正仿宋_GBK" w:hAnsi="宋体" w:eastAsia="方正仿宋_GBK"/>
          <w:bCs/>
          <w:sz w:val="24"/>
        </w:rPr>
        <w:t>合同执行期间，甲方（或乙方）若增加或减少日常保养与维修的电梯数量，则相关日常保养与维修费用将根据丙方中选单价与实际发生的时间（若实际日常保养与维修不足一个月，月数按实际日常保养与维修的天数/30天计算）据实结算，若需丙方短期委派相关人员以保障小区电梯正常运营，丙方应无条件接受。</w:t>
      </w:r>
    </w:p>
    <w:p w14:paraId="1426665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甲方： </w:t>
      </w:r>
    </w:p>
    <w:p w14:paraId="0B16E0B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单位（盖章）</w:t>
      </w:r>
    </w:p>
    <w:p w14:paraId="3005AA7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办公地址： </w:t>
      </w:r>
    </w:p>
    <w:p w14:paraId="328279C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电话：</w:t>
      </w:r>
    </w:p>
    <w:p w14:paraId="3C02A23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传真：</w:t>
      </w:r>
    </w:p>
    <w:p w14:paraId="4E64737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签约地点：                 </w:t>
      </w:r>
      <w:r>
        <w:rPr>
          <w:rFonts w:hint="eastAsia" w:ascii="方正仿宋_GBK" w:hAnsi="宋体" w:eastAsia="方正仿宋_GBK"/>
          <w:sz w:val="24"/>
        </w:rPr>
        <w:tab/>
      </w:r>
    </w:p>
    <w:p w14:paraId="7373B80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签约日期：</w:t>
      </w:r>
    </w:p>
    <w:p w14:paraId="2D773F2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乙方：                                      丙方： </w:t>
      </w:r>
    </w:p>
    <w:p w14:paraId="794E7A5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单位（盖章）：                              单位（盖章）：</w:t>
      </w:r>
    </w:p>
    <w:p w14:paraId="69E6A8D1">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办公地址：                                  办公地址： </w:t>
      </w:r>
    </w:p>
    <w:p w14:paraId="640120FD">
      <w:pPr>
        <w:snapToGrid w:val="0"/>
        <w:spacing w:line="460" w:lineRule="exact"/>
        <w:ind w:firstLine="480" w:firstLineChars="200"/>
        <w:jc w:val="left"/>
        <w:rPr>
          <w:rFonts w:ascii="方正仿宋_GBK" w:hAnsi="宋体" w:eastAsia="方正仿宋_GBK"/>
          <w:sz w:val="24"/>
        </w:rPr>
      </w:pPr>
      <w:r>
        <w:rPr>
          <w:rFonts w:ascii="方正仿宋_GBK" w:hAnsi="宋体" w:eastAsia="方正仿宋_GBK"/>
          <w:sz w:val="24"/>
        </w:rPr>
        <w:t xml:space="preserve">    </w:t>
      </w:r>
    </w:p>
    <w:p w14:paraId="02FA10E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法定代表人：                                法定代表人：</w:t>
      </w:r>
    </w:p>
    <w:p w14:paraId="5BC9D72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委托代理人：                                委托代理人：</w:t>
      </w:r>
    </w:p>
    <w:p w14:paraId="279E067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联系人：                                    联系人：</w:t>
      </w:r>
    </w:p>
    <w:p w14:paraId="06347E3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  话：                                    电  话：</w:t>
      </w:r>
    </w:p>
    <w:p w14:paraId="34B2A8C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传  真：                                    传  真：</w:t>
      </w:r>
    </w:p>
    <w:p w14:paraId="3E37253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                                            资质许可证编号：</w:t>
      </w:r>
    </w:p>
    <w:p w14:paraId="2AA4AEE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根据《中华人民共和国民法典》、《特种设备安全法》、《重庆市特种设备安全监察条例》、《电梯使用管理与维护保养规则》、电梯维保、维修招投标要求及其他有关规定，基于比选结果，甲、乙、丙三方遵循平等、自愿、公平、诚信原则，就电梯日常维保与维修包干服务有关事宜共同协商、达成一致，特订立本合同。</w:t>
      </w:r>
    </w:p>
    <w:p w14:paraId="75CAA321">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第一条 合同标的</w:t>
      </w:r>
    </w:p>
    <w:p w14:paraId="73BA8CC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由丙方为甲、乙方提供</w:t>
      </w:r>
      <w:r>
        <w:rPr>
          <w:rFonts w:hint="eastAsia" w:ascii="方正仿宋_GBK" w:hAnsi="宋体" w:eastAsia="方正仿宋_GBK"/>
          <w:sz w:val="24"/>
          <w:u w:val="single"/>
        </w:rPr>
        <w:t xml:space="preserve">         </w:t>
      </w:r>
      <w:r>
        <w:rPr>
          <w:rFonts w:hint="eastAsia" w:ascii="方正仿宋_GBK" w:hAnsi="宋体" w:eastAsia="方正仿宋_GBK"/>
          <w:sz w:val="24"/>
        </w:rPr>
        <w:t>公租房小区</w:t>
      </w:r>
      <w:r>
        <w:rPr>
          <w:rFonts w:hint="eastAsia" w:ascii="方正仿宋_GBK" w:hAnsi="宋体" w:eastAsia="方正仿宋_GBK"/>
          <w:sz w:val="24"/>
          <w:u w:val="single"/>
        </w:rPr>
        <w:t xml:space="preserve">      </w:t>
      </w:r>
      <w:r>
        <w:rPr>
          <w:rFonts w:hint="eastAsia" w:ascii="方正仿宋_GBK" w:hAnsi="宋体" w:eastAsia="方正仿宋_GBK"/>
          <w:sz w:val="24"/>
        </w:rPr>
        <w:t>台电梯日常维保与维修包干服务（包干服务清单见附表）。</w:t>
      </w:r>
    </w:p>
    <w:p w14:paraId="7E60B8F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第二条 合同期限</w:t>
      </w:r>
    </w:p>
    <w:p w14:paraId="44B0220D">
      <w:pPr>
        <w:snapToGrid w:val="0"/>
        <w:spacing w:line="460" w:lineRule="exact"/>
        <w:ind w:firstLine="480" w:firstLineChars="200"/>
        <w:jc w:val="left"/>
        <w:rPr>
          <w:rFonts w:eastAsia="方正仿宋_GBK"/>
          <w:sz w:val="24"/>
        </w:rPr>
      </w:pPr>
      <w:r>
        <w:rPr>
          <w:rFonts w:hint="eastAsia" w:eastAsia="方正仿宋_GBK"/>
          <w:sz w:val="24"/>
        </w:rPr>
        <w:t>本次比选的电梯日常保养与维修服务期暂定三年，若因小区电梯更新，对应电梯的日常保养与维修服务期需要提前终止的，以招标人的书面通知为准，并按已服务的月份数量进行结算。合同一年一签。本次合同服务</w:t>
      </w:r>
      <w:r>
        <w:rPr>
          <w:rFonts w:eastAsia="方正仿宋_GBK"/>
          <w:sz w:val="24"/>
        </w:rPr>
        <w:t>期限自</w:t>
      </w:r>
      <w:r>
        <w:rPr>
          <w:rFonts w:hint="eastAsia" w:eastAsia="方正仿宋_GBK"/>
          <w:sz w:val="24"/>
          <w:u w:val="single"/>
        </w:rPr>
        <w:t xml:space="preserve">    </w:t>
      </w:r>
      <w:r>
        <w:rPr>
          <w:rFonts w:eastAsia="方正仿宋_GBK"/>
          <w:sz w:val="24"/>
        </w:rPr>
        <w:t>年</w:t>
      </w:r>
      <w:r>
        <w:rPr>
          <w:rFonts w:hint="eastAsia" w:eastAsia="方正仿宋_GBK"/>
          <w:sz w:val="24"/>
          <w:u w:val="single"/>
        </w:rPr>
        <w:t xml:space="preserve">  </w:t>
      </w:r>
      <w:r>
        <w:rPr>
          <w:rFonts w:eastAsia="方正仿宋_GBK"/>
          <w:sz w:val="24"/>
          <w:u w:val="single"/>
        </w:rPr>
        <w:t> </w:t>
      </w:r>
      <w:r>
        <w:rPr>
          <w:rFonts w:eastAsia="方正仿宋_GBK"/>
          <w:sz w:val="24"/>
        </w:rPr>
        <w:t>月</w:t>
      </w:r>
      <w:r>
        <w:rPr>
          <w:rFonts w:hint="eastAsia" w:eastAsia="方正仿宋_GBK"/>
          <w:sz w:val="24"/>
          <w:u w:val="single"/>
        </w:rPr>
        <w:t xml:space="preserve">  </w:t>
      </w:r>
      <w:r>
        <w:rPr>
          <w:rFonts w:eastAsia="方正仿宋_GBK"/>
          <w:sz w:val="24"/>
        </w:rPr>
        <w:t>日起至</w:t>
      </w:r>
      <w:r>
        <w:rPr>
          <w:rFonts w:hint="eastAsia" w:eastAsia="方正仿宋_GBK"/>
          <w:sz w:val="24"/>
          <w:u w:val="single"/>
        </w:rPr>
        <w:t xml:space="preserve">    </w:t>
      </w:r>
      <w:r>
        <w:rPr>
          <w:rFonts w:eastAsia="方正仿宋_GBK"/>
          <w:sz w:val="24"/>
        </w:rPr>
        <w:t>年</w:t>
      </w:r>
      <w:r>
        <w:rPr>
          <w:rFonts w:hint="eastAsia" w:eastAsia="方正仿宋_GBK"/>
          <w:sz w:val="24"/>
          <w:u w:val="single"/>
        </w:rPr>
        <w:t xml:space="preserve">  </w:t>
      </w:r>
      <w:r>
        <w:rPr>
          <w:rFonts w:eastAsia="方正仿宋_GBK"/>
          <w:sz w:val="24"/>
          <w:u w:val="single"/>
        </w:rPr>
        <w:t> </w:t>
      </w:r>
      <w:r>
        <w:rPr>
          <w:rFonts w:eastAsia="方正仿宋_GBK"/>
          <w:sz w:val="24"/>
        </w:rPr>
        <w:t>月</w:t>
      </w:r>
      <w:r>
        <w:rPr>
          <w:rFonts w:hint="eastAsia" w:eastAsia="方正仿宋_GBK"/>
          <w:sz w:val="24"/>
          <w:u w:val="single"/>
        </w:rPr>
        <w:t xml:space="preserve">  </w:t>
      </w:r>
      <w:r>
        <w:rPr>
          <w:rFonts w:eastAsia="方正仿宋_GBK"/>
          <w:sz w:val="24"/>
        </w:rPr>
        <w:t>日止。</w:t>
      </w:r>
    </w:p>
    <w:p w14:paraId="2850BFE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第三条 服务内容</w:t>
      </w:r>
    </w:p>
    <w:p w14:paraId="66629DA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电梯正常运行所需的日常维保。</w:t>
      </w:r>
    </w:p>
    <w:p w14:paraId="4D3303E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按照《电梯施工类别划分表（修订版）》国质检特〔2019〕64号规定，负责提供除安装和改造以外的所有电梯修理劳务服务，包含材料、人工、运输等所有费用，同时中选人负责按照比选申请承诺购买每台电梯每年的公众责任险保险。若合同期内，国家对电梯施工类别划分有新的修订和调整的，按照最新的标准和规定执行。</w:t>
      </w:r>
    </w:p>
    <w:p w14:paraId="19DC429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第四条 日常日常保养与维修包干服务标准</w:t>
      </w:r>
    </w:p>
    <w:p w14:paraId="186F380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 严格执行国家和行业有关标准：</w:t>
      </w:r>
    </w:p>
    <w:p w14:paraId="0A485B71">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《电梯、自动扶梯和自动人行道维修规范》（GBT18775-2009）</w:t>
      </w:r>
    </w:p>
    <w:p w14:paraId="5304023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《电梯制造与安装安全规范》（GB 7588）</w:t>
      </w:r>
    </w:p>
    <w:p w14:paraId="22B6299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《自动扶梯和自动人行道的制造与安装安全规范》（GB 16899）</w:t>
      </w:r>
    </w:p>
    <w:p w14:paraId="4DF72CF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《电梯使用管理与维护保养规则》（TSG T5001-2009)</w:t>
      </w:r>
    </w:p>
    <w:p w14:paraId="50D2402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《电梯监督检验和定期检验规则》（TSG 7001-2009）</w:t>
      </w:r>
    </w:p>
    <w:p w14:paraId="4DF549C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《电梯维护保养规则》（TSGT5002-2017）</w:t>
      </w:r>
    </w:p>
    <w:p w14:paraId="3FB3EC1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《电梯安装维修作业安全规范》（DB11/419-2007）</w:t>
      </w:r>
    </w:p>
    <w:p w14:paraId="5DF93F0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 xml:space="preserve">《电梯安装改造重大维修和维护保养自检规则》   </w:t>
      </w:r>
    </w:p>
    <w:p w14:paraId="47EE1FB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（DB11/420-2007）</w:t>
      </w:r>
    </w:p>
    <w:p w14:paraId="50B9650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（以上标准和规范以适时更新版本为准）</w:t>
      </w:r>
    </w:p>
    <w:p w14:paraId="0693E65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第五条 服务费用及支付</w:t>
      </w:r>
    </w:p>
    <w:p w14:paraId="476BA42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（一）3年合同期，电梯日常维保包干服务费暂定合计：</w:t>
      </w:r>
      <w:r>
        <w:rPr>
          <w:rFonts w:ascii="方正仿宋_GBK" w:hAnsi="宋体" w:eastAsia="方正仿宋_GBK"/>
          <w:sz w:val="24"/>
          <w:u w:val="single"/>
        </w:rPr>
        <w:t xml:space="preserve">       </w:t>
      </w:r>
      <w:r>
        <w:rPr>
          <w:rFonts w:hint="eastAsia" w:ascii="方正仿宋_GBK" w:hAnsi="宋体" w:eastAsia="方正仿宋_GBK"/>
          <w:sz w:val="24"/>
        </w:rPr>
        <w:t>元（大写：</w:t>
      </w:r>
      <w:r>
        <w:rPr>
          <w:rFonts w:ascii="方正仿宋_GBK" w:hAnsi="宋体" w:eastAsia="方正仿宋_GBK"/>
          <w:sz w:val="24"/>
          <w:u w:val="single"/>
        </w:rPr>
        <w:t xml:space="preserve">           </w:t>
      </w:r>
      <w:r>
        <w:rPr>
          <w:rFonts w:hint="eastAsia" w:ascii="方正仿宋_GBK" w:hAnsi="宋体" w:eastAsia="方正仿宋_GBK"/>
          <w:sz w:val="24"/>
        </w:rPr>
        <w:t>）；日常维修包干服务费暂定合计：</w:t>
      </w:r>
      <w:r>
        <w:rPr>
          <w:rFonts w:ascii="方正仿宋_GBK" w:hAnsi="宋体" w:eastAsia="方正仿宋_GBK"/>
          <w:sz w:val="24"/>
          <w:u w:val="single"/>
        </w:rPr>
        <w:t xml:space="preserve">      </w:t>
      </w:r>
      <w:r>
        <w:rPr>
          <w:rFonts w:hint="eastAsia" w:ascii="方正仿宋_GBK" w:hAnsi="宋体" w:eastAsia="方正仿宋_GBK"/>
          <w:sz w:val="24"/>
        </w:rPr>
        <w:t>元（大写：</w:t>
      </w:r>
      <w:r>
        <w:rPr>
          <w:rFonts w:ascii="方正仿宋_GBK" w:hAnsi="宋体" w:eastAsia="方正仿宋_GBK"/>
          <w:sz w:val="24"/>
          <w:u w:val="single"/>
        </w:rPr>
        <w:t xml:space="preserve">                </w:t>
      </w:r>
      <w:r>
        <w:rPr>
          <w:rFonts w:hint="eastAsia" w:ascii="方正仿宋_GBK" w:hAnsi="宋体" w:eastAsia="方正仿宋_GBK"/>
          <w:sz w:val="24"/>
        </w:rPr>
        <w:t>）。</w:t>
      </w:r>
    </w:p>
    <w:p w14:paraId="0C747C8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按照每半年付一次款，每个周期付款前，需经管理单位（管理单位包括且不限于：市公房处、南岸区住建委、南岸区市场监管局、天文街道、招标人及城南家园公租房小区物业企业）考核合格后，于甲方（重庆渝开发物业管理有限公司）、乙方（城南家园公租房小区物业企业）在收到发票后30个工作日内支付上一个半年服务周期的维修服务费。甲方负责支付日常维修包干服务费，乙方负责支付日常维保包干服务费。甲方和乙方在考核评分表和付款申请资料上确认并审核签字后，丙方分别按实开具发票。</w:t>
      </w:r>
    </w:p>
    <w:p w14:paraId="6890348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每台电梯维修与维保按包干含税单价支付费用进行包干服务，不再另行支付其他费用。其中，本项目每台电梯维保费用由城南家园公租房物业服务公司支付，本项目每台电梯包干维修费用由重庆渝开发物业管理有限公司支付。合同执行期间，甲方（或乙方）若增加或减少日常保养与维修的电梯数量，则相关日常保养与维修费用将根据丙方中选单价与实际发生的时间（若实际日常保养与维修不足一个月，月数按实际日常保养与维修的天数/30天计算）据实结算，若需丙方短期委派相关人员以保障小区电梯正常运营，丙方应无条件接受。</w:t>
      </w:r>
    </w:p>
    <w:p w14:paraId="1873FE0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（二）上述费用不包含政府管理部门依法收取的电梯定期检验费、监督检验费、安全评估等费用。</w:t>
      </w:r>
    </w:p>
    <w:p w14:paraId="52C6500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第六条 履约保证金</w:t>
      </w:r>
    </w:p>
    <w:p w14:paraId="2E08565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（一）自本合同签订后3日内，丙方按3年合同期日常维保费总额的</w:t>
      </w:r>
      <w:r>
        <w:rPr>
          <w:rFonts w:ascii="方正仿宋_GBK" w:hAnsi="宋体" w:eastAsia="方正仿宋_GBK"/>
          <w:sz w:val="24"/>
        </w:rPr>
        <w:t>10</w:t>
      </w:r>
      <w:r>
        <w:rPr>
          <w:rFonts w:hint="eastAsia" w:ascii="方正仿宋_GBK" w:hAnsi="宋体" w:eastAsia="方正仿宋_GBK"/>
          <w:sz w:val="24"/>
        </w:rPr>
        <w:t>%向乙方缴纳日常维保履约保证金，金额为：</w:t>
      </w:r>
      <w:r>
        <w:rPr>
          <w:rFonts w:ascii="方正仿宋_GBK" w:hAnsi="宋体" w:eastAsia="方正仿宋_GBK"/>
          <w:sz w:val="24"/>
          <w:u w:val="single"/>
        </w:rPr>
        <w:t xml:space="preserve">        </w:t>
      </w:r>
      <w:r>
        <w:rPr>
          <w:rFonts w:hint="eastAsia" w:ascii="方正仿宋_GBK" w:hAnsi="宋体" w:eastAsia="方正仿宋_GBK"/>
          <w:sz w:val="24"/>
        </w:rPr>
        <w:t>元（大写：</w:t>
      </w:r>
      <w:r>
        <w:rPr>
          <w:rFonts w:ascii="方正仿宋_GBK" w:hAnsi="宋体" w:eastAsia="方正仿宋_GBK"/>
          <w:sz w:val="24"/>
          <w:u w:val="single"/>
        </w:rPr>
        <w:t xml:space="preserve">        </w:t>
      </w:r>
      <w:r>
        <w:rPr>
          <w:rFonts w:hint="eastAsia" w:ascii="方正仿宋_GBK" w:hAnsi="宋体" w:eastAsia="方正仿宋_GBK"/>
          <w:sz w:val="24"/>
        </w:rPr>
        <w:t>）；按3年合同期包干维修服务费总额的</w:t>
      </w:r>
      <w:r>
        <w:rPr>
          <w:rFonts w:ascii="方正仿宋_GBK" w:hAnsi="宋体" w:eastAsia="方正仿宋_GBK"/>
          <w:sz w:val="24"/>
        </w:rPr>
        <w:t>10</w:t>
      </w:r>
      <w:r>
        <w:rPr>
          <w:rFonts w:hint="eastAsia" w:ascii="方正仿宋_GBK" w:hAnsi="宋体" w:eastAsia="方正仿宋_GBK"/>
          <w:sz w:val="24"/>
        </w:rPr>
        <w:t>%向甲方缴纳包干维修履约保证金，金额为：</w:t>
      </w:r>
      <w:r>
        <w:rPr>
          <w:rFonts w:ascii="方正仿宋_GBK" w:hAnsi="宋体" w:eastAsia="方正仿宋_GBK"/>
          <w:sz w:val="24"/>
          <w:u w:val="single"/>
        </w:rPr>
        <w:t xml:space="preserve">        </w:t>
      </w:r>
      <w:r>
        <w:rPr>
          <w:rFonts w:hint="eastAsia" w:ascii="方正仿宋_GBK" w:hAnsi="宋体" w:eastAsia="方正仿宋_GBK"/>
          <w:sz w:val="24"/>
        </w:rPr>
        <w:t>元（大写：</w:t>
      </w:r>
      <w:r>
        <w:rPr>
          <w:rFonts w:ascii="方正仿宋_GBK" w:hAnsi="宋体" w:eastAsia="方正仿宋_GBK"/>
          <w:sz w:val="24"/>
          <w:u w:val="single"/>
        </w:rPr>
        <w:t xml:space="preserve">       </w:t>
      </w:r>
      <w:r>
        <w:rPr>
          <w:rFonts w:hint="eastAsia" w:ascii="方正仿宋_GBK" w:hAnsi="宋体" w:eastAsia="方正仿宋_GBK"/>
          <w:sz w:val="24"/>
        </w:rPr>
        <w:t>）。</w:t>
      </w:r>
    </w:p>
    <w:p w14:paraId="75C3B8F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（二）合同期满，如丙方无违约情形，甲、乙方全额无息退还履约保证金；</w:t>
      </w:r>
    </w:p>
    <w:p w14:paraId="55D3324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（三）合同期内，丙方出现下列情形之一的，甲、乙方全额扣除丙方履约保证金，不予退还。</w:t>
      </w:r>
    </w:p>
    <w:p w14:paraId="1CDD8C59">
      <w:pPr>
        <w:snapToGrid w:val="0"/>
        <w:spacing w:line="460" w:lineRule="exact"/>
        <w:ind w:firstLine="480" w:firstLineChars="200"/>
        <w:jc w:val="left"/>
        <w:rPr>
          <w:rFonts w:ascii="方正仿宋_GBK" w:hAnsi="宋体" w:eastAsia="方正仿宋_GBK"/>
          <w:sz w:val="24"/>
        </w:rPr>
      </w:pPr>
      <w:r>
        <w:rPr>
          <w:rFonts w:ascii="方正仿宋_GBK" w:hAnsi="宋体" w:eastAsia="方正仿宋_GBK"/>
          <w:sz w:val="24"/>
        </w:rPr>
        <w:t>1.</w:t>
      </w:r>
      <w:r>
        <w:rPr>
          <w:rFonts w:hint="eastAsia" w:ascii="方正仿宋_GBK" w:hAnsi="宋体" w:eastAsia="方正仿宋_GBK"/>
          <w:sz w:val="24"/>
        </w:rPr>
        <w:t>丙方在合同期内无正当理由终止合同；</w:t>
      </w:r>
    </w:p>
    <w:p w14:paraId="2AFA40C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w:t>
      </w:r>
      <w:r>
        <w:rPr>
          <w:rFonts w:ascii="方正仿宋_GBK" w:hAnsi="宋体" w:eastAsia="方正仿宋_GBK"/>
          <w:sz w:val="24"/>
        </w:rPr>
        <w:t>.</w:t>
      </w:r>
      <w:r>
        <w:rPr>
          <w:rFonts w:hint="eastAsia" w:ascii="方正仿宋_GBK" w:hAnsi="宋体" w:eastAsia="方正仿宋_GBK"/>
          <w:sz w:val="24"/>
        </w:rPr>
        <w:t>有未完成的电梯维修事项；</w:t>
      </w:r>
    </w:p>
    <w:p w14:paraId="450728D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3未按照国家相关规定开展电梯维保以及每年定期完成年检；</w:t>
      </w:r>
    </w:p>
    <w:p w14:paraId="3C501D92">
      <w:pPr>
        <w:snapToGrid w:val="0"/>
        <w:spacing w:line="460" w:lineRule="exact"/>
        <w:ind w:firstLine="480" w:firstLineChars="200"/>
        <w:jc w:val="left"/>
        <w:rPr>
          <w:rFonts w:ascii="方正仿宋_GBK" w:hAnsi="宋体" w:eastAsia="方正仿宋_GBK"/>
          <w:sz w:val="24"/>
        </w:rPr>
      </w:pPr>
      <w:r>
        <w:rPr>
          <w:rFonts w:ascii="方正仿宋_GBK" w:hAnsi="宋体" w:eastAsia="方正仿宋_GBK"/>
          <w:sz w:val="24"/>
        </w:rPr>
        <w:t>4.</w:t>
      </w:r>
      <w:r>
        <w:rPr>
          <w:rFonts w:hint="eastAsia" w:ascii="方正仿宋_GBK" w:hAnsi="宋体" w:eastAsia="方正仿宋_GBK"/>
          <w:sz w:val="24"/>
        </w:rPr>
        <w:t>存在一年两次或连续两次考核扣分超过20分；</w:t>
      </w:r>
    </w:p>
    <w:p w14:paraId="542DF1F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5</w:t>
      </w:r>
      <w:r>
        <w:rPr>
          <w:rFonts w:ascii="方正仿宋_GBK" w:hAnsi="宋体" w:eastAsia="方正仿宋_GBK"/>
          <w:sz w:val="24"/>
        </w:rPr>
        <w:t>.</w:t>
      </w:r>
      <w:r>
        <w:rPr>
          <w:rFonts w:hint="eastAsia" w:ascii="方正仿宋_GBK" w:hAnsi="宋体" w:eastAsia="方正仿宋_GBK"/>
          <w:sz w:val="24"/>
        </w:rPr>
        <w:t>未按合同约定购买电梯公众责任险；</w:t>
      </w:r>
    </w:p>
    <w:p w14:paraId="29D6721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6</w:t>
      </w:r>
      <w:r>
        <w:rPr>
          <w:rFonts w:ascii="方正仿宋_GBK" w:hAnsi="宋体" w:eastAsia="方正仿宋_GBK"/>
          <w:sz w:val="24"/>
        </w:rPr>
        <w:t>.</w:t>
      </w:r>
      <w:r>
        <w:rPr>
          <w:rFonts w:hint="eastAsia" w:ascii="方正仿宋_GBK" w:hAnsi="宋体" w:eastAsia="方正仿宋_GBK"/>
          <w:sz w:val="24"/>
        </w:rPr>
        <w:t>发生一般及以上安全责任事故。</w:t>
      </w:r>
    </w:p>
    <w:p w14:paraId="5E37F47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（四）因考核事项不合格扣取部分履约保证金的，丙方应当在履约保证金扣除之后3个工作日内全额补足。</w:t>
      </w:r>
    </w:p>
    <w:p w14:paraId="7368D09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第七条 甲方权利、义务</w:t>
      </w:r>
    </w:p>
    <w:p w14:paraId="7946A6EF">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（一）权利</w:t>
      </w:r>
    </w:p>
    <w:p w14:paraId="10E6A3D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1、统筹乙方对丙方包干服务工作进行监督。</w:t>
      </w:r>
    </w:p>
    <w:p w14:paraId="53FE596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2、督促丙方整改包干服务中的违约行为并实施相应经济处罚。</w:t>
      </w:r>
    </w:p>
    <w:p w14:paraId="2911A289">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3、对丙方包干服务进行监督管理。</w:t>
      </w:r>
    </w:p>
    <w:p w14:paraId="1E5C769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4、按照《重庆市公共租赁房电梯日常维保与维修包干服务工作考核暂行办法》行使权利。如考核办法修订，按修订后的考核办法执行。</w:t>
      </w:r>
    </w:p>
    <w:p w14:paraId="523E689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（二）义务</w:t>
      </w:r>
    </w:p>
    <w:p w14:paraId="48B5091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按合同约定支付维修包干服务费。</w:t>
      </w:r>
    </w:p>
    <w:p w14:paraId="7577C67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第八条 乙方权利、义务</w:t>
      </w:r>
    </w:p>
    <w:p w14:paraId="7E3AA76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（一）权利</w:t>
      </w:r>
    </w:p>
    <w:p w14:paraId="4CCECA4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1、对丙方包干服务进行具体监督管理。</w:t>
      </w:r>
    </w:p>
    <w:p w14:paraId="51CF1078">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2、对丙方包干服务质量及内容验收及认可。</w:t>
      </w:r>
    </w:p>
    <w:p w14:paraId="2509A69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3、对丙方包干服务中的违约行为提出整改意见及相应经济处罚建议。</w:t>
      </w:r>
    </w:p>
    <w:p w14:paraId="5F7F7A1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4、按照《重庆市公共租赁房电梯日常维保与维修包干服务工作考核暂行办法》行使权利。如考核办法修订，按修订后的考核办法执行。</w:t>
      </w:r>
    </w:p>
    <w:p w14:paraId="4E76F859">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（二）义务</w:t>
      </w:r>
    </w:p>
    <w:p w14:paraId="33CEED0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1、履行小区电梯使用管理单位职责，加强对电梯的安全管理，严格执行特种设备安全技术规范，对电梯日常运行使用及安全负责。</w:t>
      </w:r>
    </w:p>
    <w:p w14:paraId="3126752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2、按照《重庆市特种设备安全条例》、《电梯维护保养规则》（TSGT5002-2017）及其他相关标准，做好电梯日常安全运行及使用管理工作。</w:t>
      </w:r>
    </w:p>
    <w:p w14:paraId="50699C0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3、对丙方包干服务进行全过程跟踪管理。</w:t>
      </w:r>
    </w:p>
    <w:p w14:paraId="6F3EA11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4、按合同约定支付维保包干服务费。</w:t>
      </w:r>
    </w:p>
    <w:p w14:paraId="3DA2F03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5、及时报检并承担电梯定期检验（年检）费。</w:t>
      </w:r>
    </w:p>
    <w:p w14:paraId="5D06F73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6、在电梯运行发生故障时及时通知乘客，做好安全防护和安抚解释工作。</w:t>
      </w:r>
    </w:p>
    <w:p w14:paraId="511BF93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7、如出现电梯伤亡事故，立即牵头组织丙方及相关各方进行人员救治，并报辖区行业主管部门，积极配合事故调查。</w:t>
      </w:r>
    </w:p>
    <w:p w14:paraId="54376E6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8、验收丙方服务质量和内容。</w:t>
      </w:r>
    </w:p>
    <w:p w14:paraId="210DBC7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9、按照《重庆市公共租赁房电梯日常维保与维修包干服务工作考核暂行办法》要求承担义务。如考核办法修订，按修订后的考核办法承担义务。</w:t>
      </w:r>
    </w:p>
    <w:p w14:paraId="16EB3B2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第九条 丙方权利、义务</w:t>
      </w:r>
    </w:p>
    <w:p w14:paraId="1D508CB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（一）权利</w:t>
      </w:r>
    </w:p>
    <w:p w14:paraId="4F4AB8C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有权拒绝甲、乙方提出的影响电梯安全运行的不合理要求。</w:t>
      </w:r>
    </w:p>
    <w:p w14:paraId="0DC59BF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（二）义务</w:t>
      </w:r>
    </w:p>
    <w:p w14:paraId="6E2B90A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按国家《电梯维护保养规则》（TSGT5002-2017）及其他相关标准，做好电梯包干维保服务工作。按照《电梯施工类别划分表（修订版）》国质检特〔2019〕64号规定，负责提供除安装和改造以外的所有电梯修理劳务服务，包含材料、人工、运输等所有费用。</w:t>
      </w:r>
    </w:p>
    <w:p w14:paraId="70B9418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2、负责维保电梯的安全性能。对其是否符合安全技术规范要求进行确认，维保后的电梯应当符合相应的安全技术规范，并且处于正常的运行状态。</w:t>
      </w:r>
    </w:p>
    <w:p w14:paraId="535A930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3、电梯运行发生故障时，重大维修在</w:t>
      </w:r>
      <w:r>
        <w:rPr>
          <w:rFonts w:hint="eastAsia" w:ascii="方正仿宋_GBK" w:hAnsi="宋体" w:eastAsia="方正仿宋_GBK"/>
          <w:sz w:val="24"/>
          <w:u w:val="single"/>
        </w:rPr>
        <w:t xml:space="preserve">      </w:t>
      </w:r>
      <w:r>
        <w:rPr>
          <w:rFonts w:hint="eastAsia" w:ascii="方正仿宋_GBK" w:hAnsi="宋体" w:eastAsia="方正仿宋_GBK"/>
          <w:sz w:val="24"/>
        </w:rPr>
        <w:t>小时内包干修复并恢复运行，一般维修在</w:t>
      </w:r>
      <w:r>
        <w:rPr>
          <w:rFonts w:hint="eastAsia" w:ascii="方正仿宋_GBK" w:hAnsi="宋体" w:eastAsia="方正仿宋_GBK"/>
          <w:sz w:val="24"/>
          <w:u w:val="single"/>
        </w:rPr>
        <w:t xml:space="preserve">     </w:t>
      </w:r>
      <w:r>
        <w:rPr>
          <w:rFonts w:ascii="方正仿宋_GBK" w:hAnsi="宋体" w:eastAsia="方正仿宋_GBK"/>
          <w:sz w:val="24"/>
          <w:u w:val="single"/>
        </w:rPr>
        <w:t xml:space="preserve">   </w:t>
      </w:r>
      <w:r>
        <w:rPr>
          <w:rFonts w:hint="eastAsia" w:ascii="方正仿宋_GBK" w:hAnsi="宋体" w:eastAsia="方正仿宋_GBK"/>
          <w:sz w:val="24"/>
          <w:u w:val="single"/>
        </w:rPr>
        <w:t xml:space="preserve">  </w:t>
      </w:r>
      <w:r>
        <w:rPr>
          <w:rFonts w:hint="eastAsia" w:ascii="方正仿宋_GBK" w:hAnsi="宋体" w:eastAsia="方正仿宋_GBK"/>
          <w:sz w:val="24"/>
        </w:rPr>
        <w:t xml:space="preserve"> 小时内包干修复并恢复运行。</w:t>
      </w:r>
    </w:p>
    <w:p w14:paraId="3F66652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4、电梯运行发生故障或事故报警后，维修人员1</w:t>
      </w:r>
      <w:r>
        <w:rPr>
          <w:rFonts w:ascii="方正仿宋_GBK" w:hAnsi="宋体" w:eastAsia="方正仿宋_GBK"/>
          <w:sz w:val="24"/>
        </w:rPr>
        <w:t>5</w:t>
      </w:r>
      <w:r>
        <w:rPr>
          <w:rFonts w:hint="eastAsia" w:ascii="方正仿宋_GBK" w:hAnsi="宋体" w:eastAsia="方正仿宋_GBK"/>
          <w:sz w:val="24"/>
        </w:rPr>
        <w:t>分钟内到达现场提供维修服务，直至故障或事故排除，并对故障或事故情况及时进行详细记录，报备甲、乙方。</w:t>
      </w:r>
    </w:p>
    <w:p w14:paraId="2E98CE8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5、发生电梯困人事故，1</w:t>
      </w:r>
      <w:r>
        <w:rPr>
          <w:rFonts w:ascii="方正仿宋_GBK" w:hAnsi="宋体" w:eastAsia="方正仿宋_GBK"/>
          <w:sz w:val="24"/>
        </w:rPr>
        <w:t>5</w:t>
      </w:r>
      <w:r>
        <w:rPr>
          <w:rFonts w:hint="eastAsia" w:ascii="方正仿宋_GBK" w:hAnsi="宋体" w:eastAsia="方正仿宋_GBK"/>
          <w:sz w:val="24"/>
        </w:rPr>
        <w:t>分钟内到达现场开展营救工作，并在到达现场后</w:t>
      </w:r>
      <w:r>
        <w:rPr>
          <w:rFonts w:ascii="方正仿宋_GBK" w:hAnsi="宋体" w:eastAsia="方正仿宋_GBK"/>
          <w:sz w:val="24"/>
        </w:rPr>
        <w:t>30</w:t>
      </w:r>
      <w:r>
        <w:rPr>
          <w:rFonts w:hint="eastAsia" w:ascii="方正仿宋_GBK" w:hAnsi="宋体" w:eastAsia="方正仿宋_GBK"/>
          <w:sz w:val="24"/>
        </w:rPr>
        <w:t>分钟内将乘客从轿厢中救出。</w:t>
      </w:r>
    </w:p>
    <w:p w14:paraId="7F32DFC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6、</w:t>
      </w:r>
      <w:bookmarkStart w:id="593" w:name="_Hlk61881293"/>
      <w:r>
        <w:rPr>
          <w:rFonts w:hint="eastAsia" w:ascii="方正仿宋_GBK" w:hAnsi="宋体" w:eastAsia="方正仿宋_GBK"/>
          <w:sz w:val="24"/>
        </w:rPr>
        <w:t>如因不可抗力或人为损坏等原因造成电梯故障或损坏，及时将其修复，确保电梯先行恢复安全、正常运行，费用由相关方协商确定。</w:t>
      </w:r>
      <w:bookmarkEnd w:id="593"/>
      <w:r>
        <w:rPr>
          <w:rFonts w:hint="eastAsia" w:ascii="方正仿宋_GBK" w:hAnsi="宋体" w:eastAsia="方正仿宋_GBK"/>
          <w:sz w:val="24"/>
        </w:rPr>
        <w:t>如协商无果，由第三方专业权威部门鉴定责任。鉴定费由责任方承担。</w:t>
      </w:r>
    </w:p>
    <w:p w14:paraId="1906BFB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7、按甲、乙方要求，免费开展电梯安全使用、应急救援演练培训等行动，并积极配合政府或行业主管部门开展的电梯应急救援相关工作。</w:t>
      </w:r>
    </w:p>
    <w:p w14:paraId="294E4B6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8、电梯运行如出现伤亡事故，立即组织人员救治，并先行垫付相关救治及赔偿费用，积极配合相关部门调查，待事故责任调查鉴定清楚后由责任人偿付或保险公司赔付。</w:t>
      </w:r>
    </w:p>
    <w:p w14:paraId="0ECB0F6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9、协助甲、乙方完善电梯安全管理制度和应急救援预案。</w:t>
      </w:r>
    </w:p>
    <w:p w14:paraId="46F2190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10、合同期满不续约或提前解约时，由甲乙丙三方共同查验电梯工况，属包干服务造成的问题，须完成修复后再移交接管方。如对此存在争议，由第三方权威鉴定机构实施鉴定，鉴定费由鉴定结果确认的责任方承担。</w:t>
      </w:r>
    </w:p>
    <w:p w14:paraId="1B28EF9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11、合同终止时，确保将电梯零部件质保期顺延给下一个电梯维保企业。</w:t>
      </w:r>
    </w:p>
    <w:p w14:paraId="7761CEA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12、合同终止或者解除时，不得进行影响电梯正常使用的技术加密，以及隐瞒或人为设置影响电梯安全运行隐患。</w:t>
      </w:r>
    </w:p>
    <w:p w14:paraId="30B8FCA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13、储备至少</w:t>
      </w:r>
      <w:r>
        <w:rPr>
          <w:rFonts w:ascii="方正仿宋_GBK" w:hAnsi="宋体" w:eastAsia="方正仿宋_GBK"/>
          <w:sz w:val="24"/>
          <w:u w:val="single"/>
        </w:rPr>
        <w:t xml:space="preserve">      </w:t>
      </w:r>
      <w:r>
        <w:rPr>
          <w:rFonts w:hint="eastAsia" w:ascii="方正仿宋_GBK" w:hAnsi="宋体" w:eastAsia="方正仿宋_GBK"/>
          <w:sz w:val="24"/>
        </w:rPr>
        <w:t>套小区各品牌电梯（除曳引机、轿厢、井道外）所有电子、电气、机械零部件和钢丝绳。除电梯更新或改造以外，维修需使用取得国家认可合格证书的通用零部件，且需要更换的零部件在维修更换前要建立入库索证和台账，做到所有零部件可溯源。</w:t>
      </w:r>
    </w:p>
    <w:p w14:paraId="2B36DA49">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14、按照《重庆市特种设备安全条例》、《电梯维护保养规则》（TSGT5002-2017）及其他相关标准制定完善的维保方案，做好电梯维保工作，并将相关维保记录报备甲、乙方。</w:t>
      </w:r>
    </w:p>
    <w:p w14:paraId="604CEB9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15、在小区内设立电梯运行包干服务项目部，提供365天24小时应急维修服务，并确保通讯畅通。配备至少</w:t>
      </w:r>
      <w:r>
        <w:rPr>
          <w:rFonts w:hint="eastAsia" w:ascii="方正仿宋_GBK" w:hAnsi="宋体" w:eastAsia="方正仿宋_GBK"/>
          <w:sz w:val="24"/>
          <w:u w:val="single"/>
        </w:rPr>
        <w:t xml:space="preserve">      </w:t>
      </w:r>
      <w:r>
        <w:rPr>
          <w:rFonts w:hint="eastAsia" w:ascii="方正仿宋_GBK" w:hAnsi="宋体" w:eastAsia="方正仿宋_GBK"/>
          <w:sz w:val="24"/>
        </w:rPr>
        <w:t>名小区专职日常保养与维修人员，报备小区房管中心、物业处。维保人员按《电梯维护保养规则》（TSGT5002-2017）持证上岗，不得随意更换日常保养与维修人员，如需更换需报甲、乙方同意。</w:t>
      </w:r>
    </w:p>
    <w:p w14:paraId="75F9D7A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16、为本合同电梯提供公众责任险，其保额应不低于第三者（乘客）人身伤亡及财产损失单次累计</w:t>
      </w:r>
      <w:r>
        <w:rPr>
          <w:rFonts w:hint="eastAsia" w:ascii="方正仿宋_GBK" w:hAnsi="宋体" w:eastAsia="方正仿宋_GBK"/>
          <w:sz w:val="24"/>
          <w:u w:val="single"/>
        </w:rPr>
        <w:t xml:space="preserve"> </w:t>
      </w:r>
      <w:r>
        <w:rPr>
          <w:rFonts w:ascii="方正仿宋_GBK" w:hAnsi="宋体" w:eastAsia="方正仿宋_GBK"/>
          <w:sz w:val="24"/>
          <w:u w:val="single"/>
        </w:rPr>
        <w:t xml:space="preserve">       </w:t>
      </w:r>
      <w:r>
        <w:rPr>
          <w:rFonts w:hint="eastAsia" w:ascii="方正仿宋_GBK" w:hAnsi="宋体" w:eastAsia="方正仿宋_GBK"/>
          <w:sz w:val="24"/>
        </w:rPr>
        <w:t>万元，并提供相关投保合同复印件至比选人备案。</w:t>
      </w:r>
    </w:p>
    <w:p w14:paraId="3892CA4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17、确保包干服务质量满足电梯年检要求。</w:t>
      </w:r>
    </w:p>
    <w:p w14:paraId="252398C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18、提供电梯维修数据实时监控、分析、报警。</w:t>
      </w:r>
    </w:p>
    <w:p w14:paraId="230A4AA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1</w:t>
      </w:r>
      <w:r>
        <w:rPr>
          <w:rFonts w:ascii="方正仿宋_GBK" w:hAnsi="宋体" w:eastAsia="方正仿宋_GBK"/>
          <w:sz w:val="24"/>
        </w:rPr>
        <w:t>9</w:t>
      </w:r>
      <w:r>
        <w:rPr>
          <w:rFonts w:hint="eastAsia" w:ascii="方正仿宋_GBK" w:hAnsi="宋体" w:eastAsia="方正仿宋_GBK"/>
          <w:sz w:val="24"/>
        </w:rPr>
        <w:t>、配合比选人邀请专业机构和行业专家每年及合同期到期后对服务质量进行评定。</w:t>
      </w:r>
    </w:p>
    <w:p w14:paraId="0E87A9DD">
      <w:pPr>
        <w:snapToGrid w:val="0"/>
        <w:spacing w:line="460" w:lineRule="exact"/>
        <w:ind w:firstLine="480" w:firstLineChars="200"/>
        <w:jc w:val="left"/>
        <w:rPr>
          <w:rFonts w:ascii="方正仿宋_GBK" w:hAnsi="宋体" w:eastAsia="方正仿宋_GBK"/>
          <w:sz w:val="24"/>
        </w:rPr>
      </w:pPr>
      <w:r>
        <w:rPr>
          <w:rFonts w:ascii="方正仿宋_GBK" w:hAnsi="宋体" w:eastAsia="方正仿宋_GBK"/>
          <w:sz w:val="24"/>
        </w:rPr>
        <w:t>20</w:t>
      </w:r>
      <w:r>
        <w:rPr>
          <w:rFonts w:hint="eastAsia" w:ascii="方正仿宋_GBK" w:hAnsi="宋体" w:eastAsia="方正仿宋_GBK"/>
          <w:sz w:val="24"/>
        </w:rPr>
        <w:t>、承诺按年建立小区电梯维修台账，独立核算年度维修成本，并请第三方审价机构对全年成本进行复核并出具成本核算报告。维修台账和成本核算报告报市公租房管理局备案。</w:t>
      </w:r>
    </w:p>
    <w:p w14:paraId="47BFAEBC">
      <w:pPr>
        <w:snapToGrid w:val="0"/>
        <w:spacing w:line="460" w:lineRule="exact"/>
        <w:ind w:firstLine="480" w:firstLineChars="200"/>
        <w:jc w:val="left"/>
        <w:rPr>
          <w:rFonts w:ascii="方正仿宋_GBK" w:hAnsi="宋体" w:eastAsia="方正仿宋_GBK"/>
          <w:sz w:val="24"/>
        </w:rPr>
      </w:pPr>
      <w:r>
        <w:rPr>
          <w:rFonts w:ascii="方正仿宋_GBK" w:hAnsi="宋体" w:eastAsia="方正仿宋_GBK"/>
          <w:sz w:val="24"/>
        </w:rPr>
        <w:t>21</w:t>
      </w:r>
      <w:r>
        <w:rPr>
          <w:rFonts w:hint="eastAsia" w:ascii="方正仿宋_GBK" w:hAnsi="宋体" w:eastAsia="方正仿宋_GBK"/>
          <w:sz w:val="24"/>
        </w:rPr>
        <w:t>、提供监测电梯运行物联网系统用于电梯维护管理，且该系统应取得国家级电梯质检中心出具的安全评价报告，进驻小区6个月内免费安装到位，并承诺与比选人指定的信息平台进行数据共享。（上一个维保单位应该已经建立）</w:t>
      </w:r>
    </w:p>
    <w:p w14:paraId="6A7FC3F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2</w:t>
      </w:r>
      <w:r>
        <w:rPr>
          <w:rFonts w:ascii="方正仿宋_GBK" w:hAnsi="宋体" w:eastAsia="方正仿宋_GBK"/>
          <w:sz w:val="24"/>
        </w:rPr>
        <w:t>2</w:t>
      </w:r>
      <w:r>
        <w:rPr>
          <w:rFonts w:hint="eastAsia" w:ascii="方正仿宋_GBK" w:hAnsi="宋体" w:eastAsia="方正仿宋_GBK"/>
          <w:sz w:val="24"/>
        </w:rPr>
        <w:t>、按照《重庆市公共租赁房电梯日常维保与维修包干服务工作考核暂行办法》和比选文件要求，以及比选申请文件承诺内容承担义务。如相关工作未按要求完成，将根据《重庆市公共租赁房电梯日常维保与维修包干服务工作考核暂行办法》进行处罚。</w:t>
      </w:r>
    </w:p>
    <w:p w14:paraId="0CCC2C63">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第十条  违约责任</w:t>
      </w:r>
    </w:p>
    <w:p w14:paraId="1565C09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（一）因丙方日常保养与维修造成的人员伤亡及相关责任事故，由丙方承担责任。</w:t>
      </w:r>
    </w:p>
    <w:p w14:paraId="7FA478C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（二）合同任一方未按约定履行义务给其余二方任何一方造成直接损失的，应当承担赔偿责任。</w:t>
      </w:r>
    </w:p>
    <w:p w14:paraId="3821F0E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（三）除因不可抗力、人为损坏和法律规定的电梯重大维修、改造更新等特殊情况外，丙方未达到《电梯维护保养规则》（TSGT5002-2017）的日常维保要求，乙方将免付未达要求电梯当月的日常维保费。</w:t>
      </w:r>
    </w:p>
    <w:p w14:paraId="654AB4B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（四）丙方在电梯发生故障后，未及时恢复电梯运行或未及时救出乘客引起的次生事故或损失，一并由丙方承担责任。</w:t>
      </w:r>
    </w:p>
    <w:p w14:paraId="3331321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（五）如因包干服务质量原因未能通过相关检验或年检，造成的复检费用由丙方负责。</w:t>
      </w:r>
    </w:p>
    <w:p w14:paraId="1816BEB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六）合同服务范围的电梯修理工作，电梯重大维修停梯三日内未修复的，比选人扣除该台电梯一个月包干维修费；电梯重大维修停梯六日内未修复的，扣除该台电梯三个月包干维修费；电梯重大维修停梯九日内未修复的，扣除该台电梯六个月包干维修费。一般维修造成电梯停梯的，扣除该台电梯该月的包干维修费。丙方承担因停梯造成的相应损失。履约保证金扣除详见考核办法。</w:t>
      </w:r>
    </w:p>
    <w:p w14:paraId="6117CA3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（七）因丙方责任导致合同解除时，丙方应按照本合同约定的维修和维保包干费总额的20%标准分别向甲方、乙方支付违约金，若给甲方、乙方造成其他损失的，丙方应赔偿甲方、乙方相应损失。</w:t>
      </w:r>
    </w:p>
    <w:p w14:paraId="678D98B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（八）甲、乙方未按规定时间支付费用的，按未付款部分的每天万分之四比例向丙方支付逾期付款违约金。因丙方违约，甲、乙方有权拒付相关费用。</w:t>
      </w:r>
    </w:p>
    <w:p w14:paraId="52E715C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九）丙方的包干服务工作不符合合同约定的标准或要求的，丙方应当返工。在包干服务过程中使用假冒伪劣电梯零部件的，视为违约，甲、乙方将扣除该台设备服务期限内一年的包干服务费。情况特别严重的，将提请特种设备安全监察机构予以行政处罚。因假冒伪劣零部件造成的电梯事故，由丙方承担全部事故责任。</w:t>
      </w:r>
    </w:p>
    <w:p w14:paraId="1BD0C93E">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（十）因包干服务原因导致设备、零部件损坏及相关事故，由丙方承担全部责任。</w:t>
      </w:r>
    </w:p>
    <w:p w14:paraId="3D6D4C99">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第十一条  其他约定</w:t>
      </w:r>
    </w:p>
    <w:p w14:paraId="3658EDE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（一）甲、乙方要求丙方提供本合同约定以外的增值服务的，三方均应当以书面形式另行约定。</w:t>
      </w:r>
    </w:p>
    <w:p w14:paraId="53C68A87">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（二）本合同服务范围不包括改变电梯现有结构、装置、技术，或增加新功能。</w:t>
      </w:r>
    </w:p>
    <w:p w14:paraId="5DE8B7A6">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（三）丙方的包干服务工作全程应作好相应记录，记录一式三份，甲方、乙方、丙方各保存一份。</w:t>
      </w:r>
    </w:p>
    <w:p w14:paraId="7A4EF86D">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四）无论何种原因解除或者终止本合同的，丙方都应当按照甲方和乙方的指令将包干服务工作移交给下一个电梯日常保养与维修企业后，才能撤场。包干服务工作移交前由丙方继续履行包干服务工作，费用由丙方承担，期间发生的电梯运营事故责任由丙方承担。</w:t>
      </w:r>
    </w:p>
    <w:p w14:paraId="0CA57EC2">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第十二条  合同解除</w:t>
      </w:r>
    </w:p>
    <w:p w14:paraId="14EA9A30">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（一）甲、乙、丙三方协商一致，可以解除合同。</w:t>
      </w:r>
    </w:p>
    <w:p w14:paraId="4198FB2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（二）任何一方严重违约导致合同无法继续履行的，另两方协商一致后可解除合同。本合同对合同解除有其他约定的，从其约定。</w:t>
      </w:r>
    </w:p>
    <w:p w14:paraId="2638951A">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（三）一方当事人无法继续履行合同的，应当提前60天书面通知另二方，并通过协商方式处理合同事宜。</w:t>
      </w:r>
    </w:p>
    <w:p w14:paraId="2BAEE40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（四）合同解除时，丙方确保将包干服务工作移交给下一个电梯日常保养与维修企业后，才能撤场。</w:t>
      </w:r>
    </w:p>
    <w:p w14:paraId="26B7E7C5">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第十三条  争议解决方式</w:t>
      </w:r>
    </w:p>
    <w:p w14:paraId="591648FC">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本合同在履行过程中发生的争议，由三方当事人协商解决，协商解决无果可依法向甲方所在地人民法院提起诉讼。</w:t>
      </w:r>
    </w:p>
    <w:p w14:paraId="1DB8345B">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第十四条  附则</w:t>
      </w:r>
    </w:p>
    <w:p w14:paraId="1C66E064">
      <w:pPr>
        <w:snapToGrid w:val="0"/>
        <w:spacing w:line="460" w:lineRule="exact"/>
        <w:ind w:firstLine="480" w:firstLineChars="200"/>
        <w:jc w:val="left"/>
        <w:rPr>
          <w:rFonts w:ascii="方正仿宋_GBK" w:hAnsi="宋体" w:eastAsia="方正仿宋_GBK"/>
          <w:sz w:val="24"/>
        </w:rPr>
      </w:pPr>
      <w:r>
        <w:rPr>
          <w:rFonts w:hint="eastAsia" w:ascii="方正仿宋_GBK" w:hAnsi="宋体" w:eastAsia="方正仿宋_GBK"/>
          <w:sz w:val="24"/>
        </w:rPr>
        <w:t>本合同自三方签字盖章后生效。本合同生效后，三方对合同内容的变更或补充应当采取书面形式，并经三方签字确认，作为本合同的附件。附件与本合同具有同等的法律效力。</w:t>
      </w:r>
    </w:p>
    <w:p w14:paraId="28603254">
      <w:pPr>
        <w:snapToGrid w:val="0"/>
        <w:spacing w:line="460" w:lineRule="exact"/>
        <w:ind w:firstLine="480" w:firstLineChars="200"/>
        <w:jc w:val="left"/>
        <w:rPr>
          <w:rFonts w:asciiTheme="majorEastAsia" w:hAnsiTheme="majorEastAsia" w:eastAsiaTheme="majorEastAsia" w:cstheme="majorEastAsia"/>
        </w:rPr>
      </w:pPr>
      <w:r>
        <w:rPr>
          <w:rFonts w:hint="eastAsia" w:ascii="方正仿宋_GBK" w:hAnsi="宋体" w:eastAsia="方正仿宋_GBK"/>
          <w:sz w:val="24"/>
        </w:rPr>
        <w:t>本合同一式</w:t>
      </w:r>
      <w:r>
        <w:rPr>
          <w:rFonts w:ascii="方正仿宋_GBK" w:hAnsi="宋体" w:eastAsia="方正仿宋_GBK"/>
          <w:sz w:val="24"/>
          <w:u w:val="single"/>
        </w:rPr>
        <w:t xml:space="preserve"> 陆 </w:t>
      </w:r>
      <w:r>
        <w:rPr>
          <w:rFonts w:hint="eastAsia" w:ascii="方正仿宋_GBK" w:hAnsi="宋体" w:eastAsia="方正仿宋_GBK"/>
          <w:sz w:val="24"/>
        </w:rPr>
        <w:t>份，甲、乙、丙三方各执</w:t>
      </w:r>
      <w:r>
        <w:rPr>
          <w:rFonts w:ascii="方正仿宋_GBK" w:hAnsi="宋体" w:eastAsia="方正仿宋_GBK"/>
          <w:sz w:val="24"/>
          <w:u w:val="single"/>
        </w:rPr>
        <w:t xml:space="preserve"> 贰 </w:t>
      </w:r>
      <w:r>
        <w:rPr>
          <w:rFonts w:hint="eastAsia" w:ascii="方正仿宋_GBK" w:hAnsi="宋体" w:eastAsia="方正仿宋_GBK"/>
          <w:sz w:val="24"/>
        </w:rPr>
        <w:t>份。</w:t>
      </w:r>
      <w:r>
        <w:rPr>
          <w:rFonts w:asciiTheme="majorEastAsia" w:hAnsiTheme="majorEastAsia" w:eastAsiaTheme="majorEastAsia" w:cstheme="majorEastAsia"/>
        </w:rPr>
        <w:br w:type="page"/>
      </w:r>
    </w:p>
    <w:p w14:paraId="7FA3C31F">
      <w:pPr>
        <w:widowControl/>
        <w:jc w:val="left"/>
        <w:rPr>
          <w:rFonts w:asciiTheme="majorEastAsia" w:hAnsiTheme="majorEastAsia" w:eastAsiaTheme="majorEastAsia" w:cstheme="majorEastAsia"/>
        </w:rPr>
      </w:pPr>
      <w:r>
        <w:rPr>
          <w:rFonts w:hint="eastAsia" w:asciiTheme="majorEastAsia" w:hAnsiTheme="majorEastAsia" w:eastAsiaTheme="majorEastAsia" w:cstheme="majorEastAsia"/>
        </w:rPr>
        <w:t>附件一：</w:t>
      </w:r>
    </w:p>
    <w:p w14:paraId="213A61EC">
      <w:pPr>
        <w:widowControl/>
        <w:jc w:val="left"/>
        <w:rPr>
          <w:rFonts w:asciiTheme="majorEastAsia" w:hAnsiTheme="majorEastAsia" w:eastAsiaTheme="majorEastAsia" w:cstheme="majorEastAsia"/>
        </w:rPr>
      </w:pPr>
    </w:p>
    <w:p w14:paraId="2BFAD826">
      <w:pPr>
        <w:spacing w:line="594" w:lineRule="exact"/>
        <w:jc w:val="center"/>
        <w:rPr>
          <w:rFonts w:ascii="宋体" w:hAnsi="宋体" w:cs="宋体"/>
          <w:color w:val="000000"/>
          <w:kern w:val="0"/>
          <w:szCs w:val="28"/>
        </w:rPr>
      </w:pPr>
      <w:r>
        <w:rPr>
          <w:rFonts w:hint="eastAsia" w:ascii="宋体" w:hAnsi="宋体" w:cs="宋体"/>
          <w:color w:val="000000"/>
          <w:kern w:val="0"/>
          <w:szCs w:val="28"/>
        </w:rPr>
        <w:t>重庆市公共租赁房管理局</w:t>
      </w:r>
    </w:p>
    <w:p w14:paraId="38060E22">
      <w:pPr>
        <w:spacing w:line="594" w:lineRule="exact"/>
        <w:jc w:val="center"/>
        <w:rPr>
          <w:rFonts w:ascii="宋体" w:hAnsi="宋体" w:cs="宋体"/>
          <w:color w:val="000000"/>
          <w:kern w:val="0"/>
          <w:szCs w:val="28"/>
        </w:rPr>
      </w:pPr>
      <w:r>
        <w:rPr>
          <w:rFonts w:hint="eastAsia" w:ascii="宋体" w:hAnsi="宋体" w:cs="宋体"/>
          <w:color w:val="000000"/>
          <w:kern w:val="0"/>
          <w:szCs w:val="28"/>
        </w:rPr>
        <w:t>关于电梯企业日常维保与维修包干服务工作考核暂行办法</w:t>
      </w:r>
    </w:p>
    <w:p w14:paraId="7CDE44E1">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为落实责任，加强管理，做好主城区公共租赁房（以下简称公租房）电梯日常维保与维修包干服务工作（以下简称电梯日常保养与维修工作），根据国家和本市相关法律法规及电梯日常保养与维修比选要求，制定本办法。</w:t>
      </w:r>
    </w:p>
    <w:p w14:paraId="1742C918">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一、考核对象</w:t>
      </w:r>
    </w:p>
    <w:p w14:paraId="59AA878F">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公租房日常维保与维修包干服务企业（以下简称电梯企业）</w:t>
      </w:r>
    </w:p>
    <w:p w14:paraId="6E43609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二、考核原则</w:t>
      </w:r>
    </w:p>
    <w:p w14:paraId="128BDECE">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考核采取按扣分实施经济处罚的原则，具体考核内容和扣分分值详见考核评分表。</w:t>
      </w:r>
    </w:p>
    <w:p w14:paraId="03F3E84F">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 xml:space="preserve">三、考核内容     </w:t>
      </w:r>
    </w:p>
    <w:p w14:paraId="5E4A484B">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1.电梯日常维保与维修包干服务合同（以下简称合同）的履约情况；</w:t>
      </w:r>
    </w:p>
    <w:p w14:paraId="4A2ED234">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2.查验接管。电梯企业按比选要求完成查验接管。</w:t>
      </w:r>
    </w:p>
    <w:p w14:paraId="52E7AE4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3.服务标准。电梯企业按照以下标准提供服务：</w:t>
      </w:r>
    </w:p>
    <w:p w14:paraId="2D900C0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电梯维护保养规则TSGT5002-2017</w:t>
      </w:r>
    </w:p>
    <w:p w14:paraId="7FB9698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电梯、自动扶梯和自动人行道维修规范GBT18775-2009</w:t>
      </w:r>
    </w:p>
    <w:p w14:paraId="05900F1B">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电梯日常维护保养规则DB11/418-2007</w:t>
      </w:r>
    </w:p>
    <w:p w14:paraId="6DA03780">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电梯安装维修作业安全规范DB11/419-2007</w:t>
      </w:r>
    </w:p>
    <w:p w14:paraId="6A8396FF">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电梯安装改造重大维修和维护保养自检规则DB11/420-2007</w:t>
      </w:r>
    </w:p>
    <w:p w14:paraId="3F98CFFC">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重庆市电梯安全管理办法（渝府令 〔2015〕 294号）</w:t>
      </w:r>
    </w:p>
    <w:p w14:paraId="7E00197A">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电梯、自动扶梯和自动人行道运行服务规范（GB/T34146-2017）</w:t>
      </w:r>
    </w:p>
    <w:p w14:paraId="5F05B02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4.检验达标。电梯企业按照电梯监督检验和定期检验规则（TSG 7001-2009）要求完成监督检验和定期检验。</w:t>
      </w:r>
    </w:p>
    <w:p w14:paraId="0634DD50">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5.基础资料。包含工作制度、技工名册、技工上岗证书、接报修值班记录、年度月度维保方案、维保记录、维修记录，共7项。维保和维修记录作为每次日常维修考核及费用支付的必要条件，并报公租房小区物管企业、公租房管理机构备案。</w:t>
      </w:r>
    </w:p>
    <w:p w14:paraId="67C34C4B">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6.现场驻点。包含设置接报修点、技工配备数量、配件库存，共3项。</w:t>
      </w:r>
    </w:p>
    <w:p w14:paraId="14C785D1">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7.应急处置。提供全年365天24小时的应急响应服务，并确保通讯畅通；因不可抗力或人为损坏造成电梯停梯的，先行实施维修恢复电梯运行；困人救援15分钟内到达现场，到达现场后30分钟内救出乘客；电梯事故组织施救，先行垫付救治、赔偿费用；半年一次救援演练；人为损坏先行修复。</w:t>
      </w:r>
    </w:p>
    <w:p w14:paraId="352DE3C3">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8.投诉反映。涉及电梯日常保养与维修的投诉反映。</w:t>
      </w:r>
    </w:p>
    <w:p w14:paraId="18387006">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9.一般维修。按合同要求在规定时限内完成电梯一般维修。</w:t>
      </w:r>
    </w:p>
    <w:p w14:paraId="24E20DF0">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10.重大维修。按合同要求在规定时限内完成电梯重大维修。</w:t>
      </w:r>
    </w:p>
    <w:p w14:paraId="65CD238B">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11.安全责任事故。不出现安全责任事故。</w:t>
      </w:r>
    </w:p>
    <w:p w14:paraId="608A406D">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12.公众责任险。按比选文件承诺及服务合同购买电梯公众责任险并将合同送公租房小区物管企业、公租房管理机构备案。</w:t>
      </w:r>
    </w:p>
    <w:p w14:paraId="6A8FA77F">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13.到期移交。在合同期满或解约时，按合同约定按时完成电梯移交工作。</w:t>
      </w:r>
    </w:p>
    <w:p w14:paraId="4677DAFA">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14.承租户满意度。每个考核期随机抽取50户小区住户调查满意度。</w:t>
      </w:r>
    </w:p>
    <w:p w14:paraId="44F3EC82">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（九）、考核方式</w:t>
      </w:r>
    </w:p>
    <w:p w14:paraId="41D4E1AF">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实施季度考核，由各区住建委牵头，组织电梯行业专家、市级机关公房处以及属地质量监督主管部门、安全主管部门、街道办（社区），在下个服务期开始10个工作日内对上一个服务期进行考核。考核主要采取查阅记录、现场检查、满意度调查等方式，并根据考核情况如实填写考核评分表（详见附表）。考核结果报备市公共租赁房管理局。</w:t>
      </w:r>
    </w:p>
    <w:p w14:paraId="16FCDD23">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（十）考核结果运用</w:t>
      </w:r>
    </w:p>
    <w:p w14:paraId="58D06F9D">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1.考核结果与拨付电梯日常保养与维修经费挂钩，考核评分表每扣1分，相应扣减日常保养与维修费用500元。</w:t>
      </w:r>
    </w:p>
    <w:p w14:paraId="3A54BC86">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2.考核事项扣分处罚后，合同中对该事项另有约定的，按照合同约定执行。</w:t>
      </w:r>
    </w:p>
    <w:p w14:paraId="2BF809E0">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3.一年两次或连续两次考核扣分超过20分，解除合同，全额扣除履约保证金。</w:t>
      </w:r>
    </w:p>
    <w:p w14:paraId="5E0C765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4.因电梯企业的责任出现以下情况，将全额扣取其履约保证金，并解除合同。</w:t>
      </w:r>
    </w:p>
    <w:p w14:paraId="086678D3">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（1）无正当理由终止合同；</w:t>
      </w:r>
    </w:p>
    <w:p w14:paraId="6F7EBD7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（2）未按合同约定购买电梯公众责任险；</w:t>
      </w:r>
    </w:p>
    <w:p w14:paraId="263DDC77">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（3）一般及以上安全责任事故；</w:t>
      </w:r>
    </w:p>
    <w:p w14:paraId="594E080C">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（4）一般维修、重大维修不能按时维修到位；</w:t>
      </w:r>
    </w:p>
    <w:p w14:paraId="76186B66">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（5）未按要求或未在6个月内安装完成物联网监测系统。</w:t>
      </w:r>
    </w:p>
    <w:p w14:paraId="71DB7C41">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5.其他扣取部分履约保证金情况</w:t>
      </w:r>
    </w:p>
    <w:p w14:paraId="2AE5B32A">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（1）未按年完成成本核算。</w:t>
      </w:r>
    </w:p>
    <w:p w14:paraId="316F789E">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（2）单台电梯重复维修不到位的。</w:t>
      </w:r>
    </w:p>
    <w:p w14:paraId="195F38A4">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发生上述情况由甲方聘请第三方专业单位实施核算和维修，产生相关费用从履约保证金扣取。</w:t>
      </w:r>
    </w:p>
    <w:p w14:paraId="30C64886">
      <w:pPr>
        <w:widowControl/>
        <w:jc w:val="left"/>
        <w:rPr>
          <w:rFonts w:ascii="宋体" w:hAnsi="宋体" w:cs="宋体"/>
          <w:color w:val="000000"/>
          <w:kern w:val="0"/>
          <w:szCs w:val="28"/>
        </w:rPr>
      </w:pPr>
      <w:r>
        <w:rPr>
          <w:rFonts w:ascii="宋体" w:hAnsi="宋体" w:cs="宋体"/>
          <w:color w:val="000000"/>
          <w:kern w:val="0"/>
          <w:szCs w:val="28"/>
        </w:rPr>
        <w:br w:type="page"/>
      </w:r>
    </w:p>
    <w:p w14:paraId="6B8A8B7C">
      <w:pPr>
        <w:spacing w:line="594" w:lineRule="exact"/>
        <w:ind w:firstLine="420" w:firstLineChars="200"/>
        <w:rPr>
          <w:rFonts w:ascii="宋体" w:hAnsi="宋体" w:cs="宋体"/>
          <w:color w:val="000000"/>
          <w:kern w:val="0"/>
          <w:szCs w:val="28"/>
        </w:rPr>
      </w:pPr>
      <w:r>
        <w:rPr>
          <w:rFonts w:hint="eastAsia" w:ascii="宋体" w:hAnsi="宋体" w:cs="宋体"/>
          <w:color w:val="000000"/>
          <w:kern w:val="0"/>
          <w:szCs w:val="28"/>
        </w:rPr>
        <w:t>附表：公租房电梯日常维保与维修包干服务考核评分表</w:t>
      </w:r>
    </w:p>
    <w:tbl>
      <w:tblPr>
        <w:tblStyle w:val="50"/>
        <w:tblW w:w="5000" w:type="pct"/>
        <w:jc w:val="center"/>
        <w:tblLayout w:type="fixed"/>
        <w:tblCellMar>
          <w:top w:w="0" w:type="dxa"/>
          <w:left w:w="108" w:type="dxa"/>
          <w:bottom w:w="0" w:type="dxa"/>
          <w:right w:w="108" w:type="dxa"/>
        </w:tblCellMar>
      </w:tblPr>
      <w:tblGrid>
        <w:gridCol w:w="1562"/>
        <w:gridCol w:w="3289"/>
        <w:gridCol w:w="2225"/>
        <w:gridCol w:w="583"/>
        <w:gridCol w:w="1011"/>
        <w:gridCol w:w="1184"/>
      </w:tblGrid>
      <w:tr w14:paraId="1EE7EDFA">
        <w:tblPrEx>
          <w:tblCellMar>
            <w:top w:w="0" w:type="dxa"/>
            <w:left w:w="108" w:type="dxa"/>
            <w:bottom w:w="0" w:type="dxa"/>
            <w:right w:w="108" w:type="dxa"/>
          </w:tblCellMar>
        </w:tblPrEx>
        <w:trPr>
          <w:trHeight w:val="720" w:hRule="atLeast"/>
          <w:jc w:val="center"/>
        </w:trPr>
        <w:tc>
          <w:tcPr>
            <w:tcW w:w="5000" w:type="pct"/>
            <w:gridSpan w:val="6"/>
            <w:tcBorders>
              <w:top w:val="nil"/>
              <w:left w:val="nil"/>
              <w:bottom w:val="nil"/>
              <w:right w:val="nil"/>
            </w:tcBorders>
            <w:noWrap/>
            <w:vAlign w:val="center"/>
          </w:tcPr>
          <w:p w14:paraId="51243582">
            <w:pPr>
              <w:widowControl/>
              <w:rPr>
                <w:rFonts w:ascii="黑体" w:hAnsi="黑体" w:eastAsia="黑体" w:cs="宋体"/>
                <w:color w:val="000000"/>
                <w:kern w:val="0"/>
                <w:sz w:val="40"/>
                <w:szCs w:val="40"/>
              </w:rPr>
            </w:pPr>
          </w:p>
        </w:tc>
      </w:tr>
      <w:tr w14:paraId="2A1837B6">
        <w:tblPrEx>
          <w:tblCellMar>
            <w:top w:w="0" w:type="dxa"/>
            <w:left w:w="108" w:type="dxa"/>
            <w:bottom w:w="0" w:type="dxa"/>
            <w:right w:w="108" w:type="dxa"/>
          </w:tblCellMar>
        </w:tblPrEx>
        <w:trPr>
          <w:trHeight w:val="345" w:hRule="atLeast"/>
          <w:jc w:val="center"/>
        </w:trPr>
        <w:tc>
          <w:tcPr>
            <w:tcW w:w="792" w:type="pct"/>
            <w:tcBorders>
              <w:top w:val="nil"/>
              <w:left w:val="nil"/>
              <w:bottom w:val="single" w:color="auto" w:sz="4" w:space="0"/>
              <w:right w:val="nil"/>
            </w:tcBorders>
            <w:noWrap/>
            <w:vAlign w:val="center"/>
          </w:tcPr>
          <w:p w14:paraId="2AEA0501">
            <w:pPr>
              <w:widowControl/>
              <w:jc w:val="left"/>
              <w:rPr>
                <w:rFonts w:ascii="宋体" w:hAnsi="宋体" w:cs="宋体"/>
                <w:color w:val="000000"/>
                <w:kern w:val="0"/>
                <w:sz w:val="20"/>
              </w:rPr>
            </w:pPr>
            <w:r>
              <w:rPr>
                <w:rFonts w:hint="eastAsia" w:ascii="宋体" w:hAnsi="宋体" w:cs="宋体"/>
                <w:color w:val="000000"/>
                <w:kern w:val="0"/>
                <w:sz w:val="20"/>
              </w:rPr>
              <w:t>考核项目：</w:t>
            </w:r>
          </w:p>
        </w:tc>
        <w:tc>
          <w:tcPr>
            <w:tcW w:w="3094" w:type="pct"/>
            <w:gridSpan w:val="3"/>
            <w:tcBorders>
              <w:top w:val="nil"/>
              <w:left w:val="nil"/>
              <w:bottom w:val="single" w:color="auto" w:sz="4" w:space="0"/>
              <w:right w:val="nil"/>
            </w:tcBorders>
            <w:noWrap/>
            <w:vAlign w:val="center"/>
          </w:tcPr>
          <w:p w14:paraId="6FB90296">
            <w:pPr>
              <w:widowControl/>
              <w:rPr>
                <w:rFonts w:ascii="宋体" w:hAnsi="宋体" w:cs="宋体"/>
                <w:color w:val="000000"/>
                <w:kern w:val="0"/>
                <w:sz w:val="20"/>
              </w:rPr>
            </w:pPr>
            <w:r>
              <w:rPr>
                <w:rFonts w:hint="eastAsia" w:ascii="宋体" w:hAnsi="宋体" w:cs="宋体"/>
                <w:color w:val="000000"/>
                <w:kern w:val="0"/>
                <w:sz w:val="20"/>
              </w:rPr>
              <w:t>考核期：</w:t>
            </w:r>
            <w:r>
              <w:rPr>
                <w:rFonts w:hint="eastAsia" w:ascii="宋体" w:hAnsi="宋体" w:cs="宋体"/>
                <w:color w:val="000000"/>
                <w:kern w:val="0"/>
                <w:sz w:val="20"/>
                <w:u w:val="single"/>
              </w:rPr>
              <w:t xml:space="preserve">      年   月  </w:t>
            </w:r>
            <w:r>
              <w:rPr>
                <w:rFonts w:ascii="宋体" w:hAnsi="宋体" w:cs="宋体"/>
                <w:color w:val="000000"/>
                <w:kern w:val="0"/>
                <w:sz w:val="20"/>
                <w:u w:val="single"/>
              </w:rPr>
              <w:t xml:space="preserve"> </w:t>
            </w:r>
            <w:r>
              <w:rPr>
                <w:rFonts w:hint="eastAsia" w:ascii="宋体" w:hAnsi="宋体" w:cs="宋体"/>
                <w:color w:val="000000"/>
                <w:kern w:val="0"/>
                <w:sz w:val="20"/>
                <w:u w:val="single"/>
              </w:rPr>
              <w:t>日—     年   月  日</w:t>
            </w:r>
          </w:p>
        </w:tc>
        <w:tc>
          <w:tcPr>
            <w:tcW w:w="1114" w:type="pct"/>
            <w:gridSpan w:val="2"/>
            <w:tcBorders>
              <w:top w:val="nil"/>
              <w:left w:val="nil"/>
              <w:bottom w:val="single" w:color="auto" w:sz="4" w:space="0"/>
              <w:right w:val="nil"/>
            </w:tcBorders>
            <w:noWrap/>
            <w:vAlign w:val="center"/>
          </w:tcPr>
          <w:p w14:paraId="7C264C90">
            <w:pPr>
              <w:widowControl/>
              <w:rPr>
                <w:rFonts w:ascii="宋体" w:hAnsi="宋体" w:cs="宋体"/>
                <w:color w:val="000000"/>
                <w:kern w:val="0"/>
                <w:sz w:val="20"/>
              </w:rPr>
            </w:pPr>
            <w:r>
              <w:rPr>
                <w:rFonts w:hint="eastAsia" w:ascii="宋体" w:hAnsi="宋体" w:cs="宋体"/>
                <w:color w:val="000000"/>
                <w:kern w:val="0"/>
                <w:sz w:val="20"/>
              </w:rPr>
              <w:t>评分时间：</w:t>
            </w:r>
            <w:r>
              <w:rPr>
                <w:rFonts w:hint="eastAsia" w:ascii="宋体" w:hAnsi="宋体" w:cs="宋体"/>
                <w:color w:val="000000"/>
                <w:kern w:val="0"/>
                <w:sz w:val="20"/>
                <w:u w:val="single"/>
              </w:rPr>
              <w:t xml:space="preserve"> 年 月   日</w:t>
            </w:r>
          </w:p>
        </w:tc>
      </w:tr>
      <w:tr w14:paraId="549DC04E">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222D5A6D">
            <w:pPr>
              <w:widowControl/>
              <w:jc w:val="center"/>
              <w:rPr>
                <w:rFonts w:ascii="宋体" w:hAnsi="宋体" w:cs="宋体"/>
                <w:color w:val="000000"/>
                <w:kern w:val="0"/>
                <w:sz w:val="20"/>
              </w:rPr>
            </w:pPr>
            <w:r>
              <w:rPr>
                <w:rFonts w:hint="eastAsia" w:ascii="宋体" w:hAnsi="宋体" w:cs="宋体"/>
                <w:color w:val="000000"/>
                <w:kern w:val="0"/>
                <w:sz w:val="20"/>
              </w:rPr>
              <w:t>考核内容</w:t>
            </w:r>
          </w:p>
        </w:tc>
        <w:tc>
          <w:tcPr>
            <w:tcW w:w="1669" w:type="pct"/>
            <w:tcBorders>
              <w:top w:val="nil"/>
              <w:left w:val="nil"/>
              <w:bottom w:val="single" w:color="auto" w:sz="4" w:space="0"/>
              <w:right w:val="single" w:color="auto" w:sz="4" w:space="0"/>
            </w:tcBorders>
            <w:noWrap/>
            <w:vAlign w:val="center"/>
          </w:tcPr>
          <w:p w14:paraId="57CE7273">
            <w:pPr>
              <w:widowControl/>
              <w:jc w:val="center"/>
              <w:rPr>
                <w:rFonts w:ascii="宋体" w:hAnsi="宋体" w:cs="宋体"/>
                <w:color w:val="000000"/>
                <w:kern w:val="0"/>
                <w:sz w:val="20"/>
              </w:rPr>
            </w:pPr>
            <w:r>
              <w:rPr>
                <w:rFonts w:hint="eastAsia" w:ascii="宋体" w:hAnsi="宋体" w:cs="宋体"/>
                <w:color w:val="000000"/>
                <w:kern w:val="0"/>
                <w:sz w:val="20"/>
              </w:rPr>
              <w:t>考核要求</w:t>
            </w:r>
          </w:p>
        </w:tc>
        <w:tc>
          <w:tcPr>
            <w:tcW w:w="1425" w:type="pct"/>
            <w:gridSpan w:val="2"/>
            <w:tcBorders>
              <w:top w:val="nil"/>
              <w:left w:val="nil"/>
              <w:bottom w:val="single" w:color="auto" w:sz="4" w:space="0"/>
              <w:right w:val="single" w:color="auto" w:sz="4" w:space="0"/>
            </w:tcBorders>
            <w:noWrap/>
            <w:vAlign w:val="center"/>
          </w:tcPr>
          <w:p w14:paraId="653D54F2">
            <w:pPr>
              <w:widowControl/>
              <w:jc w:val="center"/>
              <w:rPr>
                <w:rFonts w:ascii="宋体" w:hAnsi="宋体" w:cs="宋体"/>
                <w:color w:val="000000"/>
                <w:kern w:val="0"/>
                <w:sz w:val="20"/>
              </w:rPr>
            </w:pPr>
            <w:r>
              <w:rPr>
                <w:rFonts w:hint="eastAsia" w:ascii="宋体" w:hAnsi="宋体" w:cs="宋体"/>
                <w:color w:val="000000"/>
                <w:kern w:val="0"/>
                <w:sz w:val="20"/>
              </w:rPr>
              <w:t>扣分标准</w:t>
            </w:r>
          </w:p>
        </w:tc>
        <w:tc>
          <w:tcPr>
            <w:tcW w:w="513" w:type="pct"/>
            <w:tcBorders>
              <w:top w:val="nil"/>
              <w:left w:val="nil"/>
              <w:bottom w:val="single" w:color="auto" w:sz="4" w:space="0"/>
              <w:right w:val="single" w:color="auto" w:sz="4" w:space="0"/>
            </w:tcBorders>
            <w:noWrap/>
            <w:vAlign w:val="center"/>
          </w:tcPr>
          <w:p w14:paraId="49A7D05E">
            <w:pPr>
              <w:widowControl/>
              <w:jc w:val="center"/>
              <w:rPr>
                <w:rFonts w:ascii="宋体" w:hAnsi="宋体" w:cs="宋体"/>
                <w:color w:val="000000"/>
                <w:kern w:val="0"/>
                <w:sz w:val="20"/>
              </w:rPr>
            </w:pPr>
            <w:r>
              <w:rPr>
                <w:rFonts w:hint="eastAsia" w:ascii="宋体" w:hAnsi="宋体" w:cs="宋体"/>
                <w:color w:val="000000"/>
                <w:kern w:val="0"/>
                <w:sz w:val="20"/>
              </w:rPr>
              <w:t>考核结果</w:t>
            </w:r>
          </w:p>
        </w:tc>
        <w:tc>
          <w:tcPr>
            <w:tcW w:w="601" w:type="pct"/>
            <w:tcBorders>
              <w:top w:val="nil"/>
              <w:left w:val="nil"/>
              <w:bottom w:val="single" w:color="auto" w:sz="4" w:space="0"/>
              <w:right w:val="single" w:color="auto" w:sz="4" w:space="0"/>
            </w:tcBorders>
            <w:vAlign w:val="center"/>
          </w:tcPr>
          <w:p w14:paraId="37055E2B">
            <w:pPr>
              <w:widowControl/>
              <w:jc w:val="center"/>
              <w:rPr>
                <w:rFonts w:ascii="宋体" w:hAnsi="宋体" w:cs="宋体"/>
                <w:color w:val="000000"/>
                <w:kern w:val="0"/>
                <w:sz w:val="20"/>
              </w:rPr>
            </w:pPr>
            <w:r>
              <w:rPr>
                <w:rFonts w:hint="eastAsia" w:ascii="宋体" w:hAnsi="宋体" w:cs="宋体"/>
                <w:color w:val="000000"/>
                <w:kern w:val="0"/>
                <w:sz w:val="20"/>
              </w:rPr>
              <w:t>评分扣减</w:t>
            </w:r>
          </w:p>
          <w:p w14:paraId="5E1A58A3">
            <w:pPr>
              <w:widowControl/>
              <w:jc w:val="center"/>
              <w:rPr>
                <w:rFonts w:ascii="宋体" w:hAnsi="宋体" w:cs="宋体"/>
                <w:color w:val="000000"/>
                <w:kern w:val="0"/>
                <w:sz w:val="20"/>
              </w:rPr>
            </w:pPr>
            <w:r>
              <w:rPr>
                <w:rFonts w:hint="eastAsia" w:ascii="宋体" w:hAnsi="宋体" w:cs="宋体"/>
                <w:color w:val="000000"/>
                <w:kern w:val="0"/>
                <w:sz w:val="20"/>
              </w:rPr>
              <w:t>（分）</w:t>
            </w:r>
          </w:p>
        </w:tc>
      </w:tr>
      <w:tr w14:paraId="57DA5FE2">
        <w:tblPrEx>
          <w:tblCellMar>
            <w:top w:w="0" w:type="dxa"/>
            <w:left w:w="108" w:type="dxa"/>
            <w:bottom w:w="0" w:type="dxa"/>
            <w:right w:w="108" w:type="dxa"/>
          </w:tblCellMar>
        </w:tblPrEx>
        <w:trPr>
          <w:trHeight w:val="720" w:hRule="atLeast"/>
          <w:jc w:val="center"/>
        </w:trPr>
        <w:tc>
          <w:tcPr>
            <w:tcW w:w="792" w:type="pct"/>
            <w:tcBorders>
              <w:top w:val="nil"/>
              <w:left w:val="single" w:color="auto" w:sz="4" w:space="0"/>
              <w:bottom w:val="single" w:color="auto" w:sz="4" w:space="0"/>
              <w:right w:val="single" w:color="auto" w:sz="4" w:space="0"/>
            </w:tcBorders>
            <w:noWrap/>
            <w:vAlign w:val="center"/>
          </w:tcPr>
          <w:p w14:paraId="325619F3">
            <w:pPr>
              <w:widowControl/>
              <w:jc w:val="center"/>
              <w:rPr>
                <w:rFonts w:ascii="宋体" w:hAnsi="宋体" w:cs="宋体"/>
                <w:color w:val="000000"/>
                <w:kern w:val="0"/>
                <w:sz w:val="20"/>
              </w:rPr>
            </w:pPr>
            <w:r>
              <w:rPr>
                <w:rFonts w:hint="eastAsia" w:ascii="宋体" w:hAnsi="宋体" w:cs="宋体"/>
                <w:color w:val="000000"/>
                <w:kern w:val="0"/>
                <w:sz w:val="20"/>
              </w:rPr>
              <w:t>查验接管</w:t>
            </w:r>
          </w:p>
        </w:tc>
        <w:tc>
          <w:tcPr>
            <w:tcW w:w="1669" w:type="pct"/>
            <w:tcBorders>
              <w:top w:val="nil"/>
              <w:left w:val="nil"/>
              <w:bottom w:val="single" w:color="auto" w:sz="4" w:space="0"/>
              <w:right w:val="single" w:color="auto" w:sz="4" w:space="0"/>
            </w:tcBorders>
            <w:vAlign w:val="center"/>
          </w:tcPr>
          <w:p w14:paraId="3F38116B">
            <w:pPr>
              <w:widowControl/>
              <w:jc w:val="center"/>
              <w:rPr>
                <w:rFonts w:ascii="宋体" w:hAnsi="宋体" w:cs="宋体"/>
                <w:color w:val="000000"/>
                <w:kern w:val="0"/>
                <w:sz w:val="20"/>
              </w:rPr>
            </w:pPr>
            <w:r>
              <w:rPr>
                <w:rFonts w:hint="eastAsia" w:ascii="宋体" w:hAnsi="宋体" w:cs="宋体"/>
                <w:color w:val="000000"/>
                <w:kern w:val="0"/>
                <w:sz w:val="20"/>
              </w:rPr>
              <w:t>查验接管时间</w:t>
            </w:r>
          </w:p>
          <w:p w14:paraId="27E2CFEA">
            <w:pPr>
              <w:widowControl/>
              <w:jc w:val="center"/>
              <w:rPr>
                <w:rFonts w:ascii="宋体" w:hAnsi="宋体" w:cs="宋体"/>
                <w:color w:val="000000"/>
                <w:kern w:val="0"/>
                <w:sz w:val="20"/>
              </w:rPr>
            </w:pPr>
            <w:r>
              <w:rPr>
                <w:rFonts w:hint="eastAsia" w:ascii="宋体" w:hAnsi="宋体" w:cs="宋体"/>
                <w:color w:val="000000"/>
                <w:kern w:val="0"/>
                <w:sz w:val="20"/>
              </w:rPr>
              <w:t>(此项仅用于首次考核)</w:t>
            </w:r>
          </w:p>
        </w:tc>
        <w:tc>
          <w:tcPr>
            <w:tcW w:w="1425" w:type="pct"/>
            <w:gridSpan w:val="2"/>
            <w:tcBorders>
              <w:top w:val="nil"/>
              <w:left w:val="nil"/>
              <w:bottom w:val="single" w:color="auto" w:sz="4" w:space="0"/>
              <w:right w:val="single" w:color="auto" w:sz="4" w:space="0"/>
            </w:tcBorders>
            <w:vAlign w:val="center"/>
          </w:tcPr>
          <w:p w14:paraId="0883DCDB">
            <w:pPr>
              <w:widowControl/>
              <w:jc w:val="center"/>
              <w:rPr>
                <w:rFonts w:ascii="宋体" w:hAnsi="宋体" w:cs="宋体"/>
                <w:color w:val="000000"/>
                <w:kern w:val="0"/>
                <w:sz w:val="20"/>
              </w:rPr>
            </w:pPr>
            <w:r>
              <w:rPr>
                <w:rFonts w:hint="eastAsia" w:ascii="宋体" w:hAnsi="宋体" w:cs="宋体"/>
                <w:color w:val="000000"/>
                <w:kern w:val="0"/>
                <w:sz w:val="20"/>
              </w:rPr>
              <w:t>超时10天扣5分</w:t>
            </w:r>
          </w:p>
          <w:p w14:paraId="7DD5D896">
            <w:pPr>
              <w:widowControl/>
              <w:jc w:val="center"/>
              <w:rPr>
                <w:rFonts w:ascii="宋体" w:hAnsi="宋体" w:cs="宋体"/>
                <w:color w:val="000000"/>
                <w:kern w:val="0"/>
                <w:sz w:val="20"/>
              </w:rPr>
            </w:pPr>
            <w:r>
              <w:rPr>
                <w:rFonts w:hint="eastAsia" w:ascii="宋体" w:hAnsi="宋体" w:cs="宋体"/>
                <w:color w:val="000000"/>
                <w:kern w:val="0"/>
                <w:sz w:val="20"/>
              </w:rPr>
              <w:t>超时11-20天扣10分</w:t>
            </w:r>
          </w:p>
          <w:p w14:paraId="52C4D3F4">
            <w:pPr>
              <w:widowControl/>
              <w:jc w:val="center"/>
              <w:rPr>
                <w:rFonts w:ascii="宋体" w:hAnsi="宋体" w:cs="宋体"/>
                <w:color w:val="000000"/>
                <w:kern w:val="0"/>
                <w:sz w:val="20"/>
              </w:rPr>
            </w:pPr>
            <w:r>
              <w:rPr>
                <w:rFonts w:hint="eastAsia" w:ascii="宋体" w:hAnsi="宋体" w:cs="宋体"/>
                <w:color w:val="000000"/>
                <w:kern w:val="0"/>
                <w:sz w:val="20"/>
              </w:rPr>
              <w:t>超时20天以上扣20分</w:t>
            </w:r>
          </w:p>
        </w:tc>
        <w:tc>
          <w:tcPr>
            <w:tcW w:w="513" w:type="pct"/>
            <w:tcBorders>
              <w:top w:val="nil"/>
              <w:left w:val="nil"/>
              <w:bottom w:val="single" w:color="auto" w:sz="4" w:space="0"/>
              <w:right w:val="single" w:color="auto" w:sz="4" w:space="0"/>
            </w:tcBorders>
            <w:vAlign w:val="center"/>
          </w:tcPr>
          <w:p w14:paraId="08A79A77">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1B9B272D">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3A23FA9">
        <w:tblPrEx>
          <w:tblCellMar>
            <w:top w:w="0" w:type="dxa"/>
            <w:left w:w="108" w:type="dxa"/>
            <w:bottom w:w="0" w:type="dxa"/>
            <w:right w:w="108" w:type="dxa"/>
          </w:tblCellMar>
        </w:tblPrEx>
        <w:trPr>
          <w:trHeight w:val="407" w:hRule="atLeast"/>
          <w:jc w:val="center"/>
        </w:trPr>
        <w:tc>
          <w:tcPr>
            <w:tcW w:w="792" w:type="pct"/>
            <w:vMerge w:val="restart"/>
            <w:tcBorders>
              <w:top w:val="nil"/>
              <w:left w:val="single" w:color="auto" w:sz="4" w:space="0"/>
              <w:bottom w:val="nil"/>
              <w:right w:val="single" w:color="auto" w:sz="4" w:space="0"/>
            </w:tcBorders>
            <w:noWrap/>
            <w:vAlign w:val="center"/>
          </w:tcPr>
          <w:p w14:paraId="30FE5BFB">
            <w:pPr>
              <w:widowControl/>
              <w:jc w:val="center"/>
              <w:rPr>
                <w:rFonts w:ascii="宋体" w:hAnsi="宋体" w:cs="宋体"/>
                <w:color w:val="000000"/>
                <w:kern w:val="0"/>
                <w:sz w:val="20"/>
              </w:rPr>
            </w:pPr>
            <w:r>
              <w:rPr>
                <w:rFonts w:hint="eastAsia" w:ascii="宋体" w:hAnsi="宋体" w:cs="宋体"/>
                <w:color w:val="000000"/>
                <w:kern w:val="0"/>
                <w:sz w:val="20"/>
              </w:rPr>
              <w:t>基础资料</w:t>
            </w:r>
          </w:p>
        </w:tc>
        <w:tc>
          <w:tcPr>
            <w:tcW w:w="1669" w:type="pct"/>
            <w:tcBorders>
              <w:top w:val="nil"/>
              <w:left w:val="nil"/>
              <w:bottom w:val="single" w:color="auto" w:sz="4" w:space="0"/>
              <w:right w:val="single" w:color="auto" w:sz="4" w:space="0"/>
            </w:tcBorders>
            <w:noWrap/>
            <w:vAlign w:val="center"/>
          </w:tcPr>
          <w:p w14:paraId="4A06F695">
            <w:pPr>
              <w:widowControl/>
              <w:jc w:val="center"/>
              <w:rPr>
                <w:rFonts w:ascii="宋体" w:hAnsi="宋体" w:cs="宋体"/>
                <w:color w:val="000000"/>
                <w:kern w:val="0"/>
                <w:sz w:val="20"/>
              </w:rPr>
            </w:pPr>
            <w:r>
              <w:rPr>
                <w:rFonts w:hint="eastAsia" w:ascii="宋体" w:hAnsi="宋体" w:cs="宋体"/>
                <w:color w:val="000000"/>
                <w:kern w:val="0"/>
                <w:sz w:val="20"/>
              </w:rPr>
              <w:t>建立工作制度</w:t>
            </w:r>
          </w:p>
        </w:tc>
        <w:tc>
          <w:tcPr>
            <w:tcW w:w="1425" w:type="pct"/>
            <w:gridSpan w:val="2"/>
            <w:tcBorders>
              <w:top w:val="nil"/>
              <w:left w:val="nil"/>
              <w:bottom w:val="single" w:color="auto" w:sz="4" w:space="0"/>
              <w:right w:val="single" w:color="auto" w:sz="4" w:space="0"/>
            </w:tcBorders>
            <w:vAlign w:val="center"/>
          </w:tcPr>
          <w:p w14:paraId="50E825B6">
            <w:pPr>
              <w:widowControl/>
              <w:jc w:val="center"/>
              <w:rPr>
                <w:rFonts w:ascii="宋体" w:hAnsi="宋体" w:cs="宋体"/>
                <w:color w:val="000000"/>
                <w:kern w:val="0"/>
                <w:sz w:val="20"/>
              </w:rPr>
            </w:pPr>
            <w:r>
              <w:rPr>
                <w:rFonts w:hint="eastAsia" w:ascii="宋体" w:hAnsi="宋体" w:cs="宋体"/>
                <w:color w:val="000000"/>
                <w:kern w:val="0"/>
                <w:sz w:val="20"/>
              </w:rPr>
              <w:t>未达要求1次扣1分</w:t>
            </w:r>
          </w:p>
        </w:tc>
        <w:tc>
          <w:tcPr>
            <w:tcW w:w="513" w:type="pct"/>
            <w:tcBorders>
              <w:top w:val="nil"/>
              <w:left w:val="nil"/>
              <w:bottom w:val="single" w:color="auto" w:sz="4" w:space="0"/>
              <w:right w:val="single" w:color="auto" w:sz="4" w:space="0"/>
            </w:tcBorders>
            <w:noWrap/>
            <w:vAlign w:val="center"/>
          </w:tcPr>
          <w:p w14:paraId="7BEB0EBE">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24B63D91">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21FE05E">
        <w:tblPrEx>
          <w:tblCellMar>
            <w:top w:w="0" w:type="dxa"/>
            <w:left w:w="108" w:type="dxa"/>
            <w:bottom w:w="0" w:type="dxa"/>
            <w:right w:w="108" w:type="dxa"/>
          </w:tblCellMar>
        </w:tblPrEx>
        <w:trPr>
          <w:trHeight w:val="357" w:hRule="atLeast"/>
          <w:jc w:val="center"/>
        </w:trPr>
        <w:tc>
          <w:tcPr>
            <w:tcW w:w="792" w:type="pct"/>
            <w:vMerge w:val="continue"/>
            <w:tcBorders>
              <w:top w:val="nil"/>
              <w:left w:val="single" w:color="auto" w:sz="4" w:space="0"/>
              <w:bottom w:val="nil"/>
              <w:right w:val="single" w:color="auto" w:sz="4" w:space="0"/>
            </w:tcBorders>
            <w:vAlign w:val="center"/>
          </w:tcPr>
          <w:p w14:paraId="011494DA">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6762F5A3">
            <w:pPr>
              <w:widowControl/>
              <w:jc w:val="center"/>
              <w:rPr>
                <w:rFonts w:ascii="宋体" w:hAnsi="宋体" w:cs="宋体"/>
                <w:color w:val="000000"/>
                <w:kern w:val="0"/>
                <w:sz w:val="20"/>
              </w:rPr>
            </w:pPr>
            <w:r>
              <w:rPr>
                <w:rFonts w:hint="eastAsia" w:ascii="宋体" w:hAnsi="宋体" w:cs="宋体"/>
                <w:color w:val="000000"/>
                <w:kern w:val="0"/>
                <w:sz w:val="20"/>
              </w:rPr>
              <w:t>电梯技工名册</w:t>
            </w:r>
          </w:p>
        </w:tc>
        <w:tc>
          <w:tcPr>
            <w:tcW w:w="1425" w:type="pct"/>
            <w:gridSpan w:val="2"/>
            <w:tcBorders>
              <w:top w:val="nil"/>
              <w:left w:val="nil"/>
              <w:bottom w:val="single" w:color="auto" w:sz="4" w:space="0"/>
              <w:right w:val="single" w:color="auto" w:sz="4" w:space="0"/>
            </w:tcBorders>
            <w:vAlign w:val="center"/>
          </w:tcPr>
          <w:p w14:paraId="28280932">
            <w:pPr>
              <w:widowControl/>
              <w:jc w:val="center"/>
              <w:rPr>
                <w:rFonts w:ascii="宋体" w:hAnsi="宋体" w:cs="宋体"/>
                <w:color w:val="000000"/>
                <w:kern w:val="0"/>
                <w:sz w:val="20"/>
              </w:rPr>
            </w:pPr>
            <w:r>
              <w:rPr>
                <w:rFonts w:hint="eastAsia" w:ascii="宋体" w:hAnsi="宋体" w:cs="宋体"/>
                <w:color w:val="000000"/>
                <w:kern w:val="0"/>
                <w:sz w:val="20"/>
              </w:rPr>
              <w:t>未达要求1次扣1分</w:t>
            </w:r>
          </w:p>
        </w:tc>
        <w:tc>
          <w:tcPr>
            <w:tcW w:w="513" w:type="pct"/>
            <w:tcBorders>
              <w:top w:val="nil"/>
              <w:left w:val="nil"/>
              <w:bottom w:val="single" w:color="auto" w:sz="4" w:space="0"/>
              <w:right w:val="single" w:color="auto" w:sz="4" w:space="0"/>
            </w:tcBorders>
            <w:noWrap/>
            <w:vAlign w:val="center"/>
          </w:tcPr>
          <w:p w14:paraId="702817A4">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0F09364C">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1C21BFA">
        <w:tblPrEx>
          <w:tblCellMar>
            <w:top w:w="0" w:type="dxa"/>
            <w:left w:w="108" w:type="dxa"/>
            <w:bottom w:w="0" w:type="dxa"/>
            <w:right w:w="108" w:type="dxa"/>
          </w:tblCellMar>
        </w:tblPrEx>
        <w:trPr>
          <w:trHeight w:val="333" w:hRule="atLeast"/>
          <w:jc w:val="center"/>
        </w:trPr>
        <w:tc>
          <w:tcPr>
            <w:tcW w:w="792" w:type="pct"/>
            <w:vMerge w:val="continue"/>
            <w:tcBorders>
              <w:top w:val="nil"/>
              <w:left w:val="single" w:color="auto" w:sz="4" w:space="0"/>
              <w:bottom w:val="nil"/>
              <w:right w:val="single" w:color="auto" w:sz="4" w:space="0"/>
            </w:tcBorders>
            <w:vAlign w:val="center"/>
          </w:tcPr>
          <w:p w14:paraId="79BEABEF">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1F0D41B3">
            <w:pPr>
              <w:widowControl/>
              <w:jc w:val="center"/>
              <w:rPr>
                <w:rFonts w:ascii="宋体" w:hAnsi="宋体" w:cs="宋体"/>
                <w:color w:val="000000"/>
                <w:kern w:val="0"/>
                <w:sz w:val="20"/>
              </w:rPr>
            </w:pPr>
            <w:r>
              <w:rPr>
                <w:rFonts w:hint="eastAsia" w:ascii="宋体" w:hAnsi="宋体" w:cs="宋体"/>
                <w:color w:val="000000"/>
                <w:kern w:val="0"/>
                <w:sz w:val="20"/>
              </w:rPr>
              <w:t>技工上岗证书</w:t>
            </w:r>
          </w:p>
        </w:tc>
        <w:tc>
          <w:tcPr>
            <w:tcW w:w="1425" w:type="pct"/>
            <w:gridSpan w:val="2"/>
            <w:tcBorders>
              <w:top w:val="nil"/>
              <w:left w:val="nil"/>
              <w:bottom w:val="single" w:color="auto" w:sz="4" w:space="0"/>
              <w:right w:val="single" w:color="auto" w:sz="4" w:space="0"/>
            </w:tcBorders>
            <w:vAlign w:val="center"/>
          </w:tcPr>
          <w:p w14:paraId="1512862A">
            <w:pPr>
              <w:widowControl/>
              <w:jc w:val="center"/>
              <w:rPr>
                <w:rFonts w:ascii="宋体" w:hAnsi="宋体" w:cs="宋体"/>
                <w:color w:val="000000"/>
                <w:kern w:val="0"/>
                <w:sz w:val="20"/>
              </w:rPr>
            </w:pPr>
            <w:r>
              <w:rPr>
                <w:rFonts w:hint="eastAsia" w:ascii="宋体" w:hAnsi="宋体" w:cs="宋体"/>
                <w:color w:val="000000"/>
                <w:kern w:val="0"/>
                <w:sz w:val="20"/>
              </w:rPr>
              <w:t>未达要求1次扣1分</w:t>
            </w:r>
          </w:p>
        </w:tc>
        <w:tc>
          <w:tcPr>
            <w:tcW w:w="513" w:type="pct"/>
            <w:tcBorders>
              <w:top w:val="nil"/>
              <w:left w:val="nil"/>
              <w:bottom w:val="single" w:color="auto" w:sz="4" w:space="0"/>
              <w:right w:val="single" w:color="auto" w:sz="4" w:space="0"/>
            </w:tcBorders>
            <w:noWrap/>
            <w:vAlign w:val="center"/>
          </w:tcPr>
          <w:p w14:paraId="0833251C">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4B0B5DD3">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7A7BD15">
        <w:tblPrEx>
          <w:tblCellMar>
            <w:top w:w="0" w:type="dxa"/>
            <w:left w:w="108" w:type="dxa"/>
            <w:bottom w:w="0" w:type="dxa"/>
            <w:right w:w="108" w:type="dxa"/>
          </w:tblCellMar>
        </w:tblPrEx>
        <w:trPr>
          <w:trHeight w:val="386" w:hRule="atLeast"/>
          <w:jc w:val="center"/>
        </w:trPr>
        <w:tc>
          <w:tcPr>
            <w:tcW w:w="792" w:type="pct"/>
            <w:vMerge w:val="continue"/>
            <w:tcBorders>
              <w:top w:val="nil"/>
              <w:left w:val="single" w:color="auto" w:sz="4" w:space="0"/>
              <w:bottom w:val="nil"/>
              <w:right w:val="single" w:color="auto" w:sz="4" w:space="0"/>
            </w:tcBorders>
            <w:vAlign w:val="center"/>
          </w:tcPr>
          <w:p w14:paraId="12BA3DFC">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368BF2A6">
            <w:pPr>
              <w:widowControl/>
              <w:jc w:val="center"/>
              <w:rPr>
                <w:rFonts w:ascii="宋体" w:hAnsi="宋体" w:cs="宋体"/>
                <w:color w:val="000000"/>
                <w:kern w:val="0"/>
                <w:sz w:val="20"/>
              </w:rPr>
            </w:pPr>
            <w:r>
              <w:rPr>
                <w:rFonts w:hint="eastAsia" w:ascii="宋体" w:hAnsi="宋体" w:cs="宋体"/>
                <w:color w:val="000000"/>
                <w:kern w:val="0"/>
                <w:sz w:val="20"/>
              </w:rPr>
              <w:t>接报修值班记录</w:t>
            </w:r>
          </w:p>
        </w:tc>
        <w:tc>
          <w:tcPr>
            <w:tcW w:w="1425" w:type="pct"/>
            <w:gridSpan w:val="2"/>
            <w:tcBorders>
              <w:top w:val="nil"/>
              <w:left w:val="nil"/>
              <w:bottom w:val="single" w:color="auto" w:sz="4" w:space="0"/>
              <w:right w:val="single" w:color="auto" w:sz="4" w:space="0"/>
            </w:tcBorders>
            <w:vAlign w:val="center"/>
          </w:tcPr>
          <w:p w14:paraId="272B1057">
            <w:pPr>
              <w:widowControl/>
              <w:jc w:val="center"/>
              <w:rPr>
                <w:rFonts w:ascii="宋体" w:hAnsi="宋体" w:cs="宋体"/>
                <w:color w:val="000000"/>
                <w:kern w:val="0"/>
                <w:sz w:val="20"/>
              </w:rPr>
            </w:pPr>
            <w:r>
              <w:rPr>
                <w:rFonts w:hint="eastAsia" w:ascii="宋体" w:hAnsi="宋体" w:cs="宋体"/>
                <w:color w:val="000000"/>
                <w:kern w:val="0"/>
                <w:sz w:val="20"/>
              </w:rPr>
              <w:t>未达要求1条记录扣1分</w:t>
            </w:r>
          </w:p>
        </w:tc>
        <w:tc>
          <w:tcPr>
            <w:tcW w:w="513" w:type="pct"/>
            <w:tcBorders>
              <w:top w:val="nil"/>
              <w:left w:val="nil"/>
              <w:bottom w:val="single" w:color="auto" w:sz="4" w:space="0"/>
              <w:right w:val="single" w:color="auto" w:sz="4" w:space="0"/>
            </w:tcBorders>
            <w:noWrap/>
            <w:vAlign w:val="center"/>
          </w:tcPr>
          <w:p w14:paraId="2BFEBFBC">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57694D9A">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6535A84">
        <w:tblPrEx>
          <w:tblCellMar>
            <w:top w:w="0" w:type="dxa"/>
            <w:left w:w="108" w:type="dxa"/>
            <w:bottom w:w="0" w:type="dxa"/>
            <w:right w:w="108" w:type="dxa"/>
          </w:tblCellMar>
        </w:tblPrEx>
        <w:trPr>
          <w:trHeight w:val="335" w:hRule="atLeast"/>
          <w:jc w:val="center"/>
        </w:trPr>
        <w:tc>
          <w:tcPr>
            <w:tcW w:w="792" w:type="pct"/>
            <w:vMerge w:val="continue"/>
            <w:tcBorders>
              <w:top w:val="nil"/>
              <w:left w:val="single" w:color="auto" w:sz="4" w:space="0"/>
              <w:bottom w:val="nil"/>
              <w:right w:val="single" w:color="auto" w:sz="4" w:space="0"/>
            </w:tcBorders>
            <w:vAlign w:val="center"/>
          </w:tcPr>
          <w:p w14:paraId="3C40FD01">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69698BFD">
            <w:pPr>
              <w:widowControl/>
              <w:jc w:val="center"/>
              <w:rPr>
                <w:rFonts w:ascii="宋体" w:hAnsi="宋体" w:cs="宋体"/>
                <w:color w:val="000000"/>
                <w:kern w:val="0"/>
                <w:sz w:val="20"/>
              </w:rPr>
            </w:pPr>
            <w:r>
              <w:rPr>
                <w:rFonts w:hint="eastAsia" w:ascii="宋体" w:hAnsi="宋体" w:cs="宋体"/>
                <w:color w:val="000000"/>
                <w:kern w:val="0"/>
                <w:sz w:val="20"/>
              </w:rPr>
              <w:t>年度、月度维保方案</w:t>
            </w:r>
          </w:p>
        </w:tc>
        <w:tc>
          <w:tcPr>
            <w:tcW w:w="1425" w:type="pct"/>
            <w:gridSpan w:val="2"/>
            <w:tcBorders>
              <w:top w:val="nil"/>
              <w:left w:val="nil"/>
              <w:bottom w:val="single" w:color="auto" w:sz="4" w:space="0"/>
              <w:right w:val="single" w:color="auto" w:sz="4" w:space="0"/>
            </w:tcBorders>
            <w:vAlign w:val="center"/>
          </w:tcPr>
          <w:p w14:paraId="1C975C21">
            <w:pPr>
              <w:widowControl/>
              <w:jc w:val="center"/>
              <w:rPr>
                <w:rFonts w:ascii="宋体" w:hAnsi="宋体" w:cs="宋体"/>
                <w:color w:val="000000"/>
                <w:kern w:val="0"/>
                <w:sz w:val="20"/>
              </w:rPr>
            </w:pPr>
            <w:r>
              <w:rPr>
                <w:rFonts w:hint="eastAsia" w:ascii="宋体" w:hAnsi="宋体" w:cs="宋体"/>
                <w:color w:val="000000"/>
                <w:kern w:val="0"/>
                <w:sz w:val="20"/>
              </w:rPr>
              <w:t>未达要求1次扣1分</w:t>
            </w:r>
          </w:p>
        </w:tc>
        <w:tc>
          <w:tcPr>
            <w:tcW w:w="513" w:type="pct"/>
            <w:tcBorders>
              <w:top w:val="nil"/>
              <w:left w:val="nil"/>
              <w:bottom w:val="single" w:color="auto" w:sz="4" w:space="0"/>
              <w:right w:val="single" w:color="auto" w:sz="4" w:space="0"/>
            </w:tcBorders>
            <w:noWrap/>
            <w:vAlign w:val="center"/>
          </w:tcPr>
          <w:p w14:paraId="2AA00894">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6B32E5CA">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085DE72">
        <w:tblPrEx>
          <w:tblCellMar>
            <w:top w:w="0" w:type="dxa"/>
            <w:left w:w="108" w:type="dxa"/>
            <w:bottom w:w="0" w:type="dxa"/>
            <w:right w:w="108" w:type="dxa"/>
          </w:tblCellMar>
        </w:tblPrEx>
        <w:trPr>
          <w:trHeight w:val="427" w:hRule="atLeast"/>
          <w:jc w:val="center"/>
        </w:trPr>
        <w:tc>
          <w:tcPr>
            <w:tcW w:w="792" w:type="pct"/>
            <w:vMerge w:val="continue"/>
            <w:tcBorders>
              <w:top w:val="nil"/>
              <w:left w:val="single" w:color="auto" w:sz="4" w:space="0"/>
              <w:bottom w:val="nil"/>
              <w:right w:val="single" w:color="auto" w:sz="4" w:space="0"/>
            </w:tcBorders>
            <w:vAlign w:val="center"/>
          </w:tcPr>
          <w:p w14:paraId="1E5B8CAD">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03203FC0">
            <w:pPr>
              <w:widowControl/>
              <w:jc w:val="center"/>
              <w:rPr>
                <w:rFonts w:ascii="宋体" w:hAnsi="宋体" w:cs="宋体"/>
                <w:color w:val="000000"/>
                <w:kern w:val="0"/>
                <w:sz w:val="20"/>
              </w:rPr>
            </w:pPr>
            <w:r>
              <w:rPr>
                <w:rFonts w:hint="eastAsia" w:ascii="宋体" w:hAnsi="宋体" w:cs="宋体"/>
                <w:color w:val="000000"/>
                <w:kern w:val="0"/>
                <w:sz w:val="20"/>
              </w:rPr>
              <w:t>维保记录一梯一档</w:t>
            </w:r>
          </w:p>
        </w:tc>
        <w:tc>
          <w:tcPr>
            <w:tcW w:w="1425" w:type="pct"/>
            <w:gridSpan w:val="2"/>
            <w:tcBorders>
              <w:top w:val="nil"/>
              <w:left w:val="nil"/>
              <w:bottom w:val="single" w:color="auto" w:sz="4" w:space="0"/>
              <w:right w:val="single" w:color="auto" w:sz="4" w:space="0"/>
            </w:tcBorders>
            <w:vAlign w:val="center"/>
          </w:tcPr>
          <w:p w14:paraId="77E6D334">
            <w:pPr>
              <w:widowControl/>
              <w:jc w:val="center"/>
              <w:rPr>
                <w:rFonts w:ascii="宋体" w:hAnsi="宋体" w:cs="宋体"/>
                <w:color w:val="000000"/>
                <w:kern w:val="0"/>
                <w:sz w:val="20"/>
              </w:rPr>
            </w:pPr>
            <w:r>
              <w:rPr>
                <w:rFonts w:hint="eastAsia" w:ascii="宋体" w:hAnsi="宋体" w:cs="宋体"/>
                <w:color w:val="000000"/>
                <w:kern w:val="0"/>
                <w:sz w:val="20"/>
              </w:rPr>
              <w:t>未达要求1条记录扣1分</w:t>
            </w:r>
          </w:p>
        </w:tc>
        <w:tc>
          <w:tcPr>
            <w:tcW w:w="513" w:type="pct"/>
            <w:tcBorders>
              <w:top w:val="nil"/>
              <w:left w:val="nil"/>
              <w:bottom w:val="single" w:color="auto" w:sz="4" w:space="0"/>
              <w:right w:val="single" w:color="auto" w:sz="4" w:space="0"/>
            </w:tcBorders>
            <w:noWrap/>
            <w:vAlign w:val="center"/>
          </w:tcPr>
          <w:p w14:paraId="67CFB218">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2AA1DDF3">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A684994">
        <w:tblPrEx>
          <w:tblCellMar>
            <w:top w:w="0" w:type="dxa"/>
            <w:left w:w="108" w:type="dxa"/>
            <w:bottom w:w="0" w:type="dxa"/>
            <w:right w:w="108" w:type="dxa"/>
          </w:tblCellMar>
        </w:tblPrEx>
        <w:trPr>
          <w:trHeight w:val="363" w:hRule="atLeast"/>
          <w:jc w:val="center"/>
        </w:trPr>
        <w:tc>
          <w:tcPr>
            <w:tcW w:w="792" w:type="pct"/>
            <w:vMerge w:val="continue"/>
            <w:tcBorders>
              <w:top w:val="nil"/>
              <w:left w:val="single" w:color="auto" w:sz="4" w:space="0"/>
              <w:bottom w:val="nil"/>
              <w:right w:val="single" w:color="auto" w:sz="4" w:space="0"/>
            </w:tcBorders>
            <w:vAlign w:val="center"/>
          </w:tcPr>
          <w:p w14:paraId="1FA13518">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5747F88A">
            <w:pPr>
              <w:widowControl/>
              <w:jc w:val="center"/>
              <w:rPr>
                <w:rFonts w:ascii="宋体" w:hAnsi="宋体" w:cs="宋体"/>
                <w:color w:val="000000"/>
                <w:kern w:val="0"/>
                <w:sz w:val="20"/>
              </w:rPr>
            </w:pPr>
            <w:r>
              <w:rPr>
                <w:rFonts w:hint="eastAsia" w:ascii="宋体" w:hAnsi="宋体" w:cs="宋体"/>
                <w:color w:val="000000"/>
                <w:kern w:val="0"/>
                <w:sz w:val="20"/>
              </w:rPr>
              <w:t>维修记录完整真实</w:t>
            </w:r>
          </w:p>
        </w:tc>
        <w:tc>
          <w:tcPr>
            <w:tcW w:w="1425" w:type="pct"/>
            <w:gridSpan w:val="2"/>
            <w:tcBorders>
              <w:top w:val="nil"/>
              <w:left w:val="nil"/>
              <w:bottom w:val="single" w:color="auto" w:sz="4" w:space="0"/>
              <w:right w:val="single" w:color="auto" w:sz="4" w:space="0"/>
            </w:tcBorders>
            <w:vAlign w:val="center"/>
          </w:tcPr>
          <w:p w14:paraId="1322169D">
            <w:pPr>
              <w:widowControl/>
              <w:jc w:val="center"/>
              <w:rPr>
                <w:rFonts w:ascii="宋体" w:hAnsi="宋体" w:cs="宋体"/>
                <w:color w:val="000000"/>
                <w:kern w:val="0"/>
                <w:sz w:val="20"/>
              </w:rPr>
            </w:pPr>
            <w:r>
              <w:rPr>
                <w:rFonts w:hint="eastAsia" w:ascii="宋体" w:hAnsi="宋体" w:cs="宋体"/>
                <w:color w:val="000000"/>
                <w:kern w:val="0"/>
                <w:sz w:val="20"/>
              </w:rPr>
              <w:t>未达要求1条记录扣1分</w:t>
            </w:r>
          </w:p>
        </w:tc>
        <w:tc>
          <w:tcPr>
            <w:tcW w:w="513" w:type="pct"/>
            <w:tcBorders>
              <w:top w:val="nil"/>
              <w:left w:val="nil"/>
              <w:bottom w:val="single" w:color="auto" w:sz="4" w:space="0"/>
              <w:right w:val="single" w:color="auto" w:sz="4" w:space="0"/>
            </w:tcBorders>
            <w:noWrap/>
            <w:vAlign w:val="center"/>
          </w:tcPr>
          <w:p w14:paraId="57778787">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37DAF8E4">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3DED92E">
        <w:tblPrEx>
          <w:tblCellMar>
            <w:top w:w="0" w:type="dxa"/>
            <w:left w:w="108" w:type="dxa"/>
            <w:bottom w:w="0" w:type="dxa"/>
            <w:right w:w="108" w:type="dxa"/>
          </w:tblCellMar>
        </w:tblPrEx>
        <w:trPr>
          <w:trHeight w:val="469" w:hRule="atLeast"/>
          <w:jc w:val="center"/>
        </w:trPr>
        <w:tc>
          <w:tcPr>
            <w:tcW w:w="792" w:type="pct"/>
            <w:vMerge w:val="restart"/>
            <w:tcBorders>
              <w:top w:val="single" w:color="auto" w:sz="4" w:space="0"/>
              <w:left w:val="single" w:color="auto" w:sz="4" w:space="0"/>
              <w:bottom w:val="single" w:color="000000" w:sz="4" w:space="0"/>
              <w:right w:val="single" w:color="auto" w:sz="4" w:space="0"/>
            </w:tcBorders>
            <w:noWrap/>
            <w:vAlign w:val="center"/>
          </w:tcPr>
          <w:p w14:paraId="1B938992">
            <w:pPr>
              <w:widowControl/>
              <w:jc w:val="center"/>
              <w:rPr>
                <w:rFonts w:ascii="宋体" w:hAnsi="宋体" w:cs="宋体"/>
                <w:color w:val="000000"/>
                <w:kern w:val="0"/>
                <w:sz w:val="20"/>
              </w:rPr>
            </w:pPr>
            <w:r>
              <w:rPr>
                <w:rFonts w:hint="eastAsia" w:ascii="宋体" w:hAnsi="宋体" w:cs="宋体"/>
                <w:color w:val="000000"/>
                <w:kern w:val="0"/>
                <w:sz w:val="20"/>
              </w:rPr>
              <w:t>现场驻点</w:t>
            </w:r>
          </w:p>
        </w:tc>
        <w:tc>
          <w:tcPr>
            <w:tcW w:w="1669" w:type="pct"/>
            <w:tcBorders>
              <w:top w:val="nil"/>
              <w:left w:val="nil"/>
              <w:bottom w:val="single" w:color="auto" w:sz="4" w:space="0"/>
              <w:right w:val="single" w:color="auto" w:sz="4" w:space="0"/>
            </w:tcBorders>
            <w:noWrap/>
            <w:vAlign w:val="center"/>
          </w:tcPr>
          <w:p w14:paraId="632E8E0A">
            <w:pPr>
              <w:widowControl/>
              <w:jc w:val="center"/>
              <w:rPr>
                <w:rFonts w:ascii="宋体" w:hAnsi="宋体" w:cs="宋体"/>
                <w:color w:val="000000"/>
                <w:kern w:val="0"/>
                <w:sz w:val="20"/>
              </w:rPr>
            </w:pPr>
            <w:r>
              <w:rPr>
                <w:rFonts w:hint="eastAsia" w:ascii="宋体" w:hAnsi="宋体" w:cs="宋体"/>
                <w:color w:val="000000"/>
                <w:kern w:val="0"/>
                <w:sz w:val="20"/>
              </w:rPr>
              <w:t>设置项目部接报修点</w:t>
            </w:r>
          </w:p>
        </w:tc>
        <w:tc>
          <w:tcPr>
            <w:tcW w:w="1425" w:type="pct"/>
            <w:gridSpan w:val="2"/>
            <w:tcBorders>
              <w:top w:val="nil"/>
              <w:left w:val="nil"/>
              <w:bottom w:val="single" w:color="auto" w:sz="4" w:space="0"/>
              <w:right w:val="single" w:color="auto" w:sz="4" w:space="0"/>
            </w:tcBorders>
            <w:vAlign w:val="center"/>
          </w:tcPr>
          <w:p w14:paraId="59C370AD">
            <w:pPr>
              <w:widowControl/>
              <w:jc w:val="center"/>
              <w:rPr>
                <w:rFonts w:ascii="宋体" w:hAnsi="宋体" w:cs="宋体"/>
                <w:color w:val="000000"/>
                <w:kern w:val="0"/>
                <w:sz w:val="20"/>
              </w:rPr>
            </w:pPr>
            <w:r>
              <w:rPr>
                <w:rFonts w:hint="eastAsia" w:ascii="宋体" w:hAnsi="宋体" w:cs="宋体"/>
                <w:color w:val="000000"/>
                <w:kern w:val="0"/>
                <w:sz w:val="20"/>
              </w:rPr>
              <w:t>未达要求1次扣2分</w:t>
            </w:r>
          </w:p>
        </w:tc>
        <w:tc>
          <w:tcPr>
            <w:tcW w:w="513" w:type="pct"/>
            <w:tcBorders>
              <w:top w:val="nil"/>
              <w:left w:val="nil"/>
              <w:bottom w:val="single" w:color="auto" w:sz="4" w:space="0"/>
              <w:right w:val="single" w:color="auto" w:sz="4" w:space="0"/>
            </w:tcBorders>
            <w:noWrap/>
            <w:vAlign w:val="center"/>
          </w:tcPr>
          <w:p w14:paraId="5F1AD6B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711F63D4">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008A7DA6">
        <w:tblPrEx>
          <w:tblCellMar>
            <w:top w:w="0" w:type="dxa"/>
            <w:left w:w="108" w:type="dxa"/>
            <w:bottom w:w="0" w:type="dxa"/>
            <w:right w:w="108" w:type="dxa"/>
          </w:tblCellMar>
        </w:tblPrEx>
        <w:trPr>
          <w:trHeight w:val="469" w:hRule="atLeast"/>
          <w:jc w:val="center"/>
        </w:trPr>
        <w:tc>
          <w:tcPr>
            <w:tcW w:w="792" w:type="pct"/>
            <w:vMerge w:val="continue"/>
            <w:tcBorders>
              <w:top w:val="single" w:color="auto" w:sz="4" w:space="0"/>
              <w:left w:val="single" w:color="auto" w:sz="4" w:space="0"/>
              <w:bottom w:val="single" w:color="000000" w:sz="4" w:space="0"/>
              <w:right w:val="single" w:color="auto" w:sz="4" w:space="0"/>
            </w:tcBorders>
            <w:vAlign w:val="center"/>
          </w:tcPr>
          <w:p w14:paraId="2D6603A6">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5BC1A81B">
            <w:pPr>
              <w:widowControl/>
              <w:jc w:val="center"/>
              <w:rPr>
                <w:rFonts w:ascii="宋体" w:hAnsi="宋体" w:cs="宋体"/>
                <w:color w:val="000000"/>
                <w:kern w:val="0"/>
                <w:sz w:val="20"/>
              </w:rPr>
            </w:pPr>
            <w:r>
              <w:rPr>
                <w:rFonts w:hint="eastAsia" w:ascii="宋体" w:hAnsi="宋体" w:cs="宋体"/>
                <w:color w:val="000000"/>
                <w:kern w:val="0"/>
                <w:sz w:val="20"/>
                <w:u w:val="single"/>
              </w:rPr>
              <w:t xml:space="preserve">    </w:t>
            </w:r>
            <w:r>
              <w:rPr>
                <w:rFonts w:hint="eastAsia" w:ascii="宋体" w:hAnsi="宋体" w:cs="宋体"/>
                <w:color w:val="000000"/>
                <w:kern w:val="0"/>
                <w:sz w:val="20"/>
              </w:rPr>
              <w:t>名电梯技工配备</w:t>
            </w:r>
          </w:p>
        </w:tc>
        <w:tc>
          <w:tcPr>
            <w:tcW w:w="1425" w:type="pct"/>
            <w:gridSpan w:val="2"/>
            <w:tcBorders>
              <w:top w:val="nil"/>
              <w:left w:val="nil"/>
              <w:bottom w:val="single" w:color="auto" w:sz="4" w:space="0"/>
              <w:right w:val="single" w:color="auto" w:sz="4" w:space="0"/>
            </w:tcBorders>
            <w:vAlign w:val="center"/>
          </w:tcPr>
          <w:p w14:paraId="34486676">
            <w:pPr>
              <w:widowControl/>
              <w:jc w:val="center"/>
              <w:rPr>
                <w:rFonts w:ascii="宋体" w:hAnsi="宋体" w:cs="宋体"/>
                <w:color w:val="000000"/>
                <w:kern w:val="0"/>
                <w:sz w:val="20"/>
              </w:rPr>
            </w:pPr>
            <w:r>
              <w:rPr>
                <w:rFonts w:hint="eastAsia" w:ascii="宋体" w:hAnsi="宋体" w:cs="宋体"/>
                <w:color w:val="000000"/>
                <w:kern w:val="0"/>
                <w:sz w:val="20"/>
              </w:rPr>
              <w:t>未达要求1次扣2分</w:t>
            </w:r>
          </w:p>
          <w:p w14:paraId="1C381182">
            <w:pPr>
              <w:widowControl/>
              <w:jc w:val="center"/>
              <w:rPr>
                <w:rFonts w:ascii="宋体" w:hAnsi="宋体" w:cs="宋体"/>
                <w:color w:val="000000"/>
                <w:kern w:val="0"/>
                <w:sz w:val="20"/>
              </w:rPr>
            </w:pPr>
            <w:r>
              <w:rPr>
                <w:rFonts w:hint="eastAsia" w:ascii="宋体" w:hAnsi="宋体" w:cs="宋体"/>
                <w:color w:val="000000"/>
                <w:kern w:val="0"/>
                <w:sz w:val="20"/>
              </w:rPr>
              <w:t>（每月抽查1次）</w:t>
            </w:r>
          </w:p>
        </w:tc>
        <w:tc>
          <w:tcPr>
            <w:tcW w:w="513" w:type="pct"/>
            <w:tcBorders>
              <w:top w:val="nil"/>
              <w:left w:val="nil"/>
              <w:bottom w:val="single" w:color="auto" w:sz="4" w:space="0"/>
              <w:right w:val="single" w:color="auto" w:sz="4" w:space="0"/>
            </w:tcBorders>
            <w:noWrap/>
            <w:vAlign w:val="center"/>
          </w:tcPr>
          <w:p w14:paraId="1C58FF66">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70AEC305">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2FA989C">
        <w:tblPrEx>
          <w:tblCellMar>
            <w:top w:w="0" w:type="dxa"/>
            <w:left w:w="108" w:type="dxa"/>
            <w:bottom w:w="0" w:type="dxa"/>
            <w:right w:w="108" w:type="dxa"/>
          </w:tblCellMar>
        </w:tblPrEx>
        <w:trPr>
          <w:trHeight w:val="469" w:hRule="atLeast"/>
          <w:jc w:val="center"/>
        </w:trPr>
        <w:tc>
          <w:tcPr>
            <w:tcW w:w="792" w:type="pct"/>
            <w:vMerge w:val="continue"/>
            <w:tcBorders>
              <w:top w:val="single" w:color="auto" w:sz="4" w:space="0"/>
              <w:left w:val="single" w:color="auto" w:sz="4" w:space="0"/>
              <w:bottom w:val="single" w:color="000000" w:sz="4" w:space="0"/>
              <w:right w:val="single" w:color="auto" w:sz="4" w:space="0"/>
            </w:tcBorders>
            <w:vAlign w:val="center"/>
          </w:tcPr>
          <w:p w14:paraId="487C7D36">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17E0D302">
            <w:pPr>
              <w:widowControl/>
              <w:jc w:val="center"/>
              <w:rPr>
                <w:rFonts w:ascii="宋体" w:hAnsi="宋体" w:cs="宋体"/>
                <w:color w:val="000000"/>
                <w:kern w:val="0"/>
                <w:sz w:val="20"/>
              </w:rPr>
            </w:pPr>
            <w:r>
              <w:rPr>
                <w:rFonts w:hint="eastAsia" w:ascii="宋体" w:hAnsi="宋体" w:cs="宋体"/>
                <w:color w:val="000000"/>
                <w:kern w:val="0"/>
                <w:sz w:val="20"/>
              </w:rPr>
              <w:t>储存</w:t>
            </w:r>
            <w:r>
              <w:rPr>
                <w:rFonts w:ascii="宋体" w:hAnsi="宋体" w:cs="宋体"/>
                <w:color w:val="000000"/>
                <w:kern w:val="0"/>
                <w:sz w:val="20"/>
                <w:u w:val="single"/>
              </w:rPr>
              <w:t xml:space="preserve">    </w:t>
            </w:r>
            <w:r>
              <w:rPr>
                <w:rFonts w:hint="eastAsia" w:ascii="宋体" w:hAnsi="宋体" w:cs="宋体"/>
                <w:color w:val="000000"/>
                <w:kern w:val="0"/>
                <w:sz w:val="20"/>
              </w:rPr>
              <w:t>套电梯零部件及溯源</w:t>
            </w:r>
          </w:p>
        </w:tc>
        <w:tc>
          <w:tcPr>
            <w:tcW w:w="1425" w:type="pct"/>
            <w:gridSpan w:val="2"/>
            <w:tcBorders>
              <w:top w:val="nil"/>
              <w:left w:val="nil"/>
              <w:bottom w:val="single" w:color="auto" w:sz="4" w:space="0"/>
              <w:right w:val="single" w:color="auto" w:sz="4" w:space="0"/>
            </w:tcBorders>
            <w:vAlign w:val="center"/>
          </w:tcPr>
          <w:p w14:paraId="655E3043">
            <w:pPr>
              <w:widowControl/>
              <w:jc w:val="center"/>
              <w:rPr>
                <w:rFonts w:ascii="宋体" w:hAnsi="宋体" w:cs="宋体"/>
                <w:color w:val="000000"/>
                <w:kern w:val="0"/>
                <w:sz w:val="20"/>
              </w:rPr>
            </w:pPr>
            <w:r>
              <w:rPr>
                <w:rFonts w:hint="eastAsia" w:ascii="宋体" w:hAnsi="宋体" w:cs="宋体"/>
                <w:color w:val="000000"/>
                <w:kern w:val="0"/>
                <w:sz w:val="20"/>
              </w:rPr>
              <w:t>未达要求1次扣2分</w:t>
            </w:r>
          </w:p>
          <w:p w14:paraId="59D3C48B">
            <w:pPr>
              <w:widowControl/>
              <w:jc w:val="center"/>
              <w:rPr>
                <w:rFonts w:ascii="宋体" w:hAnsi="宋体" w:cs="宋体"/>
                <w:color w:val="000000"/>
                <w:kern w:val="0"/>
                <w:sz w:val="20"/>
              </w:rPr>
            </w:pPr>
            <w:r>
              <w:rPr>
                <w:rFonts w:hint="eastAsia" w:ascii="宋体" w:hAnsi="宋体" w:cs="宋体"/>
                <w:color w:val="000000"/>
                <w:kern w:val="0"/>
                <w:sz w:val="20"/>
              </w:rPr>
              <w:t>（每月抽查1次）</w:t>
            </w:r>
          </w:p>
        </w:tc>
        <w:tc>
          <w:tcPr>
            <w:tcW w:w="513" w:type="pct"/>
            <w:tcBorders>
              <w:top w:val="nil"/>
              <w:left w:val="nil"/>
              <w:bottom w:val="single" w:color="auto" w:sz="4" w:space="0"/>
              <w:right w:val="single" w:color="auto" w:sz="4" w:space="0"/>
            </w:tcBorders>
            <w:noWrap/>
            <w:vAlign w:val="center"/>
          </w:tcPr>
          <w:p w14:paraId="291994D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6AFCFD76">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4C456B6D">
        <w:tblPrEx>
          <w:tblCellMar>
            <w:top w:w="0" w:type="dxa"/>
            <w:left w:w="108" w:type="dxa"/>
            <w:bottom w:w="0" w:type="dxa"/>
            <w:right w:w="108" w:type="dxa"/>
          </w:tblCellMar>
        </w:tblPrEx>
        <w:trPr>
          <w:trHeight w:val="336" w:hRule="atLeast"/>
          <w:jc w:val="center"/>
        </w:trPr>
        <w:tc>
          <w:tcPr>
            <w:tcW w:w="792" w:type="pct"/>
            <w:vMerge w:val="restart"/>
            <w:tcBorders>
              <w:top w:val="nil"/>
              <w:left w:val="single" w:color="auto" w:sz="4" w:space="0"/>
              <w:bottom w:val="single" w:color="auto" w:sz="4" w:space="0"/>
              <w:right w:val="single" w:color="auto" w:sz="4" w:space="0"/>
            </w:tcBorders>
            <w:vAlign w:val="center"/>
          </w:tcPr>
          <w:p w14:paraId="6F3711B9">
            <w:pPr>
              <w:widowControl/>
              <w:jc w:val="center"/>
              <w:rPr>
                <w:rFonts w:ascii="宋体" w:hAnsi="宋体" w:cs="宋体"/>
                <w:color w:val="000000"/>
                <w:kern w:val="0"/>
                <w:sz w:val="20"/>
              </w:rPr>
            </w:pPr>
            <w:r>
              <w:rPr>
                <w:rFonts w:hint="eastAsia" w:ascii="宋体" w:hAnsi="宋体" w:cs="宋体"/>
                <w:color w:val="000000"/>
                <w:kern w:val="0"/>
                <w:sz w:val="20"/>
              </w:rPr>
              <w:t>应急处置</w:t>
            </w:r>
          </w:p>
        </w:tc>
        <w:tc>
          <w:tcPr>
            <w:tcW w:w="1669" w:type="pct"/>
            <w:tcBorders>
              <w:top w:val="nil"/>
              <w:left w:val="nil"/>
              <w:bottom w:val="single" w:color="auto" w:sz="4" w:space="0"/>
              <w:right w:val="single" w:color="auto" w:sz="4" w:space="0"/>
            </w:tcBorders>
            <w:noWrap/>
            <w:vAlign w:val="center"/>
          </w:tcPr>
          <w:p w14:paraId="275C700A">
            <w:pPr>
              <w:widowControl/>
              <w:jc w:val="center"/>
              <w:rPr>
                <w:rFonts w:ascii="宋体" w:hAnsi="宋体" w:cs="宋体"/>
                <w:color w:val="000000"/>
                <w:kern w:val="0"/>
                <w:sz w:val="20"/>
              </w:rPr>
            </w:pPr>
            <w:r>
              <w:rPr>
                <w:rFonts w:hint="eastAsia" w:ascii="宋体" w:hAnsi="宋体" w:cs="宋体"/>
                <w:color w:val="000000"/>
                <w:kern w:val="0"/>
                <w:sz w:val="20"/>
              </w:rPr>
              <w:t>提供全年365天24小时的应急响应服务，并确保通讯畅通</w:t>
            </w:r>
          </w:p>
        </w:tc>
        <w:tc>
          <w:tcPr>
            <w:tcW w:w="1425" w:type="pct"/>
            <w:gridSpan w:val="2"/>
            <w:tcBorders>
              <w:top w:val="nil"/>
              <w:left w:val="nil"/>
              <w:bottom w:val="single" w:color="auto" w:sz="4" w:space="0"/>
              <w:right w:val="single" w:color="auto" w:sz="4" w:space="0"/>
            </w:tcBorders>
            <w:vAlign w:val="center"/>
          </w:tcPr>
          <w:p w14:paraId="224EE4D9">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208502DA">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2A2885A9">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1B52002C">
        <w:tblPrEx>
          <w:tblCellMar>
            <w:top w:w="0" w:type="dxa"/>
            <w:left w:w="108" w:type="dxa"/>
            <w:bottom w:w="0" w:type="dxa"/>
            <w:right w:w="108" w:type="dxa"/>
          </w:tblCellMar>
        </w:tblPrEx>
        <w:trPr>
          <w:trHeight w:val="540" w:hRule="atLeast"/>
          <w:jc w:val="center"/>
        </w:trPr>
        <w:tc>
          <w:tcPr>
            <w:tcW w:w="792" w:type="pct"/>
            <w:vMerge w:val="continue"/>
            <w:tcBorders>
              <w:top w:val="nil"/>
              <w:left w:val="single" w:color="auto" w:sz="4" w:space="0"/>
              <w:bottom w:val="single" w:color="auto" w:sz="4" w:space="0"/>
              <w:right w:val="single" w:color="auto" w:sz="4" w:space="0"/>
            </w:tcBorders>
            <w:vAlign w:val="center"/>
          </w:tcPr>
          <w:p w14:paraId="3C576354">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vAlign w:val="center"/>
          </w:tcPr>
          <w:p w14:paraId="76A6887E">
            <w:pPr>
              <w:widowControl/>
              <w:jc w:val="center"/>
              <w:rPr>
                <w:rFonts w:ascii="宋体" w:hAnsi="宋体" w:cs="宋体"/>
                <w:color w:val="000000"/>
                <w:kern w:val="0"/>
                <w:sz w:val="20"/>
              </w:rPr>
            </w:pPr>
            <w:r>
              <w:rPr>
                <w:rFonts w:hint="eastAsia" w:ascii="宋体" w:hAnsi="宋体" w:cs="宋体"/>
                <w:color w:val="000000"/>
                <w:kern w:val="0"/>
                <w:sz w:val="20"/>
              </w:rPr>
              <w:t>因不可抗力或人为损坏造成电梯停梯的，先行实施维修恢复电梯运行</w:t>
            </w:r>
          </w:p>
        </w:tc>
        <w:tc>
          <w:tcPr>
            <w:tcW w:w="1425" w:type="pct"/>
            <w:gridSpan w:val="2"/>
            <w:tcBorders>
              <w:top w:val="nil"/>
              <w:left w:val="nil"/>
              <w:bottom w:val="single" w:color="auto" w:sz="4" w:space="0"/>
              <w:right w:val="single" w:color="auto" w:sz="4" w:space="0"/>
            </w:tcBorders>
            <w:vAlign w:val="center"/>
          </w:tcPr>
          <w:p w14:paraId="272D852D">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6CEC1DBA">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1269A5EF">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78A1DCF1">
        <w:tblPrEx>
          <w:tblCellMar>
            <w:top w:w="0" w:type="dxa"/>
            <w:left w:w="108" w:type="dxa"/>
            <w:bottom w:w="0" w:type="dxa"/>
            <w:right w:w="108" w:type="dxa"/>
          </w:tblCellMar>
        </w:tblPrEx>
        <w:trPr>
          <w:trHeight w:val="720" w:hRule="atLeast"/>
          <w:jc w:val="center"/>
        </w:trPr>
        <w:tc>
          <w:tcPr>
            <w:tcW w:w="792" w:type="pct"/>
            <w:vMerge w:val="continue"/>
            <w:tcBorders>
              <w:top w:val="nil"/>
              <w:left w:val="single" w:color="auto" w:sz="4" w:space="0"/>
              <w:bottom w:val="single" w:color="auto" w:sz="4" w:space="0"/>
              <w:right w:val="single" w:color="auto" w:sz="4" w:space="0"/>
            </w:tcBorders>
            <w:vAlign w:val="center"/>
          </w:tcPr>
          <w:p w14:paraId="1B5BC3AF">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vAlign w:val="center"/>
          </w:tcPr>
          <w:p w14:paraId="51848FD3">
            <w:pPr>
              <w:widowControl/>
              <w:jc w:val="center"/>
              <w:rPr>
                <w:rFonts w:ascii="宋体" w:hAnsi="宋体" w:cs="宋体"/>
                <w:color w:val="000000"/>
                <w:kern w:val="0"/>
                <w:sz w:val="20"/>
              </w:rPr>
            </w:pPr>
            <w:r>
              <w:rPr>
                <w:rFonts w:hint="eastAsia" w:ascii="宋体" w:hAnsi="宋体" w:cs="宋体"/>
                <w:color w:val="000000"/>
                <w:kern w:val="0"/>
                <w:sz w:val="20"/>
              </w:rPr>
              <w:t>困人救援</w:t>
            </w:r>
          </w:p>
          <w:p w14:paraId="046569C8">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5</w:t>
            </w:r>
            <w:r>
              <w:rPr>
                <w:rFonts w:hint="eastAsia" w:ascii="宋体" w:hAnsi="宋体" w:cs="宋体"/>
                <w:color w:val="000000"/>
                <w:kern w:val="0"/>
                <w:sz w:val="20"/>
              </w:rPr>
              <w:t>分钟内到达现场</w:t>
            </w:r>
          </w:p>
          <w:p w14:paraId="4DA2F7EE">
            <w:pPr>
              <w:widowControl/>
              <w:jc w:val="center"/>
              <w:rPr>
                <w:rFonts w:ascii="宋体" w:hAnsi="宋体" w:cs="宋体"/>
                <w:color w:val="000000"/>
                <w:kern w:val="0"/>
                <w:sz w:val="20"/>
              </w:rPr>
            </w:pPr>
            <w:r>
              <w:rPr>
                <w:rFonts w:hint="eastAsia" w:ascii="宋体" w:hAnsi="宋体" w:cs="宋体"/>
                <w:color w:val="000000"/>
                <w:kern w:val="0"/>
                <w:sz w:val="20"/>
              </w:rPr>
              <w:t>到达现场后</w:t>
            </w:r>
            <w:r>
              <w:rPr>
                <w:rFonts w:ascii="宋体" w:hAnsi="宋体" w:cs="宋体"/>
                <w:color w:val="000000"/>
                <w:kern w:val="0"/>
                <w:sz w:val="20"/>
              </w:rPr>
              <w:t>30</w:t>
            </w:r>
            <w:r>
              <w:rPr>
                <w:rFonts w:hint="eastAsia" w:ascii="宋体" w:hAnsi="宋体" w:cs="宋体"/>
                <w:color w:val="000000"/>
                <w:kern w:val="0"/>
                <w:sz w:val="20"/>
              </w:rPr>
              <w:t>分钟内救出乘客</w:t>
            </w:r>
          </w:p>
        </w:tc>
        <w:tc>
          <w:tcPr>
            <w:tcW w:w="1425" w:type="pct"/>
            <w:gridSpan w:val="2"/>
            <w:tcBorders>
              <w:top w:val="nil"/>
              <w:left w:val="nil"/>
              <w:bottom w:val="single" w:color="auto" w:sz="4" w:space="0"/>
              <w:right w:val="single" w:color="auto" w:sz="4" w:space="0"/>
            </w:tcBorders>
            <w:vAlign w:val="center"/>
          </w:tcPr>
          <w:p w14:paraId="4B5A67AB">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432C302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711485D5">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D096F89">
        <w:tblPrEx>
          <w:tblCellMar>
            <w:top w:w="0" w:type="dxa"/>
            <w:left w:w="108" w:type="dxa"/>
            <w:bottom w:w="0" w:type="dxa"/>
            <w:right w:w="108" w:type="dxa"/>
          </w:tblCellMar>
        </w:tblPrEx>
        <w:trPr>
          <w:trHeight w:val="600" w:hRule="atLeast"/>
          <w:jc w:val="center"/>
        </w:trPr>
        <w:tc>
          <w:tcPr>
            <w:tcW w:w="792" w:type="pct"/>
            <w:vMerge w:val="continue"/>
            <w:tcBorders>
              <w:top w:val="nil"/>
              <w:left w:val="single" w:color="auto" w:sz="4" w:space="0"/>
              <w:bottom w:val="single" w:color="auto" w:sz="4" w:space="0"/>
              <w:right w:val="single" w:color="auto" w:sz="4" w:space="0"/>
            </w:tcBorders>
            <w:vAlign w:val="center"/>
          </w:tcPr>
          <w:p w14:paraId="2F47FE9C">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vAlign w:val="center"/>
          </w:tcPr>
          <w:p w14:paraId="44076C59">
            <w:pPr>
              <w:widowControl/>
              <w:jc w:val="center"/>
              <w:rPr>
                <w:rFonts w:ascii="宋体" w:hAnsi="宋体" w:cs="宋体"/>
                <w:color w:val="000000"/>
                <w:kern w:val="0"/>
                <w:sz w:val="20"/>
              </w:rPr>
            </w:pPr>
            <w:r>
              <w:rPr>
                <w:rFonts w:hint="eastAsia" w:ascii="宋体" w:hAnsi="宋体" w:cs="宋体"/>
                <w:color w:val="000000"/>
                <w:kern w:val="0"/>
                <w:sz w:val="20"/>
              </w:rPr>
              <w:t>电梯事故组织施救</w:t>
            </w:r>
          </w:p>
          <w:p w14:paraId="0F7F5FE2">
            <w:pPr>
              <w:widowControl/>
              <w:jc w:val="center"/>
              <w:rPr>
                <w:rFonts w:ascii="宋体" w:hAnsi="宋体" w:cs="宋体"/>
                <w:color w:val="000000"/>
                <w:kern w:val="0"/>
                <w:sz w:val="20"/>
              </w:rPr>
            </w:pPr>
            <w:r>
              <w:rPr>
                <w:rFonts w:hint="eastAsia" w:ascii="宋体" w:hAnsi="宋体" w:cs="宋体"/>
                <w:color w:val="000000"/>
                <w:kern w:val="0"/>
                <w:sz w:val="20"/>
              </w:rPr>
              <w:t>先行垫付救治、赔偿费用</w:t>
            </w:r>
          </w:p>
        </w:tc>
        <w:tc>
          <w:tcPr>
            <w:tcW w:w="1425" w:type="pct"/>
            <w:gridSpan w:val="2"/>
            <w:tcBorders>
              <w:top w:val="nil"/>
              <w:left w:val="nil"/>
              <w:bottom w:val="single" w:color="auto" w:sz="4" w:space="0"/>
              <w:right w:val="single" w:color="auto" w:sz="4" w:space="0"/>
            </w:tcBorders>
            <w:vAlign w:val="center"/>
          </w:tcPr>
          <w:p w14:paraId="0186A49D">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5757F85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19247295">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66CA0E5">
        <w:tblPrEx>
          <w:tblCellMar>
            <w:top w:w="0" w:type="dxa"/>
            <w:left w:w="108" w:type="dxa"/>
            <w:bottom w:w="0" w:type="dxa"/>
            <w:right w:w="108" w:type="dxa"/>
          </w:tblCellMar>
        </w:tblPrEx>
        <w:trPr>
          <w:trHeight w:val="313" w:hRule="atLeast"/>
          <w:jc w:val="center"/>
        </w:trPr>
        <w:tc>
          <w:tcPr>
            <w:tcW w:w="792" w:type="pct"/>
            <w:vMerge w:val="continue"/>
            <w:tcBorders>
              <w:top w:val="nil"/>
              <w:left w:val="single" w:color="auto" w:sz="4" w:space="0"/>
              <w:bottom w:val="single" w:color="auto" w:sz="4" w:space="0"/>
              <w:right w:val="single" w:color="auto" w:sz="4" w:space="0"/>
            </w:tcBorders>
            <w:vAlign w:val="center"/>
          </w:tcPr>
          <w:p w14:paraId="14EA8CD6">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6C8D6E91">
            <w:pPr>
              <w:widowControl/>
              <w:jc w:val="center"/>
              <w:rPr>
                <w:rFonts w:ascii="宋体" w:hAnsi="宋体" w:cs="宋体"/>
                <w:color w:val="000000"/>
                <w:kern w:val="0"/>
                <w:sz w:val="20"/>
              </w:rPr>
            </w:pPr>
            <w:r>
              <w:rPr>
                <w:rFonts w:hint="eastAsia" w:ascii="宋体" w:hAnsi="宋体" w:cs="宋体"/>
                <w:color w:val="000000"/>
                <w:kern w:val="0"/>
                <w:sz w:val="20"/>
              </w:rPr>
              <w:t>半年一次救援演练</w:t>
            </w:r>
          </w:p>
        </w:tc>
        <w:tc>
          <w:tcPr>
            <w:tcW w:w="1425" w:type="pct"/>
            <w:gridSpan w:val="2"/>
            <w:tcBorders>
              <w:top w:val="nil"/>
              <w:left w:val="nil"/>
              <w:bottom w:val="single" w:color="auto" w:sz="4" w:space="0"/>
              <w:right w:val="single" w:color="auto" w:sz="4" w:space="0"/>
            </w:tcBorders>
            <w:vAlign w:val="center"/>
          </w:tcPr>
          <w:p w14:paraId="3630897C">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7F1FF3F3">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7E0FFFC0">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4CF730A">
        <w:tblPrEx>
          <w:tblCellMar>
            <w:top w:w="0" w:type="dxa"/>
            <w:left w:w="108" w:type="dxa"/>
            <w:bottom w:w="0" w:type="dxa"/>
            <w:right w:w="108" w:type="dxa"/>
          </w:tblCellMar>
        </w:tblPrEx>
        <w:trPr>
          <w:trHeight w:val="276" w:hRule="atLeast"/>
          <w:jc w:val="center"/>
        </w:trPr>
        <w:tc>
          <w:tcPr>
            <w:tcW w:w="792" w:type="pct"/>
            <w:vMerge w:val="continue"/>
            <w:tcBorders>
              <w:top w:val="nil"/>
              <w:left w:val="single" w:color="auto" w:sz="4" w:space="0"/>
              <w:bottom w:val="single" w:color="auto" w:sz="4" w:space="0"/>
              <w:right w:val="single" w:color="auto" w:sz="4" w:space="0"/>
            </w:tcBorders>
            <w:vAlign w:val="center"/>
          </w:tcPr>
          <w:p w14:paraId="5D76305C">
            <w:pPr>
              <w:widowControl/>
              <w:jc w:val="left"/>
              <w:rPr>
                <w:rFonts w:ascii="宋体" w:hAnsi="宋体" w:cs="宋体"/>
                <w:color w:val="000000"/>
                <w:kern w:val="0"/>
                <w:sz w:val="20"/>
              </w:rPr>
            </w:pPr>
          </w:p>
        </w:tc>
        <w:tc>
          <w:tcPr>
            <w:tcW w:w="1669" w:type="pct"/>
            <w:tcBorders>
              <w:top w:val="nil"/>
              <w:left w:val="nil"/>
              <w:bottom w:val="single" w:color="auto" w:sz="4" w:space="0"/>
              <w:right w:val="single" w:color="auto" w:sz="4" w:space="0"/>
            </w:tcBorders>
            <w:noWrap/>
            <w:vAlign w:val="center"/>
          </w:tcPr>
          <w:p w14:paraId="3F6F96C2">
            <w:pPr>
              <w:widowControl/>
              <w:jc w:val="center"/>
              <w:rPr>
                <w:rFonts w:ascii="宋体" w:hAnsi="宋体" w:cs="宋体"/>
                <w:color w:val="000000"/>
                <w:kern w:val="0"/>
                <w:sz w:val="20"/>
              </w:rPr>
            </w:pPr>
            <w:r>
              <w:rPr>
                <w:rFonts w:hint="eastAsia" w:ascii="宋体" w:hAnsi="宋体" w:cs="宋体"/>
                <w:color w:val="000000"/>
                <w:kern w:val="0"/>
                <w:sz w:val="20"/>
              </w:rPr>
              <w:t>人为损坏先行修复</w:t>
            </w:r>
          </w:p>
        </w:tc>
        <w:tc>
          <w:tcPr>
            <w:tcW w:w="1425" w:type="pct"/>
            <w:gridSpan w:val="2"/>
            <w:tcBorders>
              <w:top w:val="nil"/>
              <w:left w:val="nil"/>
              <w:bottom w:val="single" w:color="auto" w:sz="4" w:space="0"/>
              <w:right w:val="single" w:color="auto" w:sz="4" w:space="0"/>
            </w:tcBorders>
            <w:vAlign w:val="center"/>
          </w:tcPr>
          <w:p w14:paraId="257239F3">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244A00A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24687013">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202A5C11">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763AF3B2">
            <w:pPr>
              <w:widowControl/>
              <w:jc w:val="center"/>
              <w:rPr>
                <w:rFonts w:ascii="宋体" w:hAnsi="宋体" w:cs="宋体"/>
                <w:color w:val="000000"/>
                <w:kern w:val="0"/>
                <w:sz w:val="20"/>
              </w:rPr>
            </w:pPr>
            <w:r>
              <w:rPr>
                <w:rFonts w:hint="eastAsia" w:ascii="宋体" w:hAnsi="宋体" w:cs="宋体"/>
                <w:color w:val="000000"/>
                <w:kern w:val="0"/>
                <w:sz w:val="20"/>
              </w:rPr>
              <w:t>投诉反映</w:t>
            </w:r>
          </w:p>
        </w:tc>
        <w:tc>
          <w:tcPr>
            <w:tcW w:w="1669" w:type="pct"/>
            <w:tcBorders>
              <w:top w:val="nil"/>
              <w:left w:val="nil"/>
              <w:bottom w:val="single" w:color="auto" w:sz="4" w:space="0"/>
              <w:right w:val="single" w:color="auto" w:sz="4" w:space="0"/>
            </w:tcBorders>
            <w:noWrap/>
            <w:vAlign w:val="center"/>
          </w:tcPr>
          <w:p w14:paraId="5428366B">
            <w:pPr>
              <w:widowControl/>
              <w:jc w:val="center"/>
              <w:rPr>
                <w:rFonts w:ascii="宋体" w:hAnsi="宋体" w:cs="宋体"/>
                <w:color w:val="000000"/>
                <w:kern w:val="0"/>
                <w:sz w:val="20"/>
              </w:rPr>
            </w:pPr>
            <w:r>
              <w:rPr>
                <w:rFonts w:hint="eastAsia" w:ascii="宋体" w:hAnsi="宋体" w:cs="宋体"/>
                <w:color w:val="000000"/>
                <w:kern w:val="0"/>
                <w:sz w:val="20"/>
              </w:rPr>
              <w:t>有效信访投诉</w:t>
            </w:r>
          </w:p>
        </w:tc>
        <w:tc>
          <w:tcPr>
            <w:tcW w:w="1425" w:type="pct"/>
            <w:gridSpan w:val="2"/>
            <w:tcBorders>
              <w:top w:val="nil"/>
              <w:left w:val="nil"/>
              <w:bottom w:val="single" w:color="auto" w:sz="4" w:space="0"/>
              <w:right w:val="single" w:color="auto" w:sz="4" w:space="0"/>
            </w:tcBorders>
            <w:vAlign w:val="center"/>
          </w:tcPr>
          <w:p w14:paraId="18CCBE2B">
            <w:pPr>
              <w:widowControl/>
              <w:jc w:val="left"/>
              <w:rPr>
                <w:rFonts w:ascii="宋体" w:hAnsi="宋体" w:cs="宋体"/>
                <w:color w:val="000000"/>
                <w:kern w:val="0"/>
                <w:sz w:val="20"/>
              </w:rPr>
            </w:pPr>
            <w:r>
              <w:rPr>
                <w:rFonts w:hint="eastAsia" w:ascii="宋体" w:hAnsi="宋体" w:cs="宋体"/>
                <w:color w:val="000000"/>
                <w:kern w:val="0"/>
                <w:sz w:val="20"/>
              </w:rPr>
              <w:t>每条扣1分；造成一般社会影响的扣2分；造成重大社会影响每条扣5分</w:t>
            </w:r>
          </w:p>
        </w:tc>
        <w:tc>
          <w:tcPr>
            <w:tcW w:w="513" w:type="pct"/>
            <w:tcBorders>
              <w:top w:val="nil"/>
              <w:left w:val="nil"/>
              <w:bottom w:val="single" w:color="auto" w:sz="4" w:space="0"/>
              <w:right w:val="single" w:color="auto" w:sz="4" w:space="0"/>
            </w:tcBorders>
            <w:noWrap/>
            <w:vAlign w:val="center"/>
          </w:tcPr>
          <w:p w14:paraId="49FDB587">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06472511">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52A1DA27">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0741E570">
            <w:pPr>
              <w:widowControl/>
              <w:jc w:val="center"/>
              <w:rPr>
                <w:rFonts w:ascii="宋体" w:hAnsi="宋体" w:cs="宋体"/>
                <w:color w:val="000000"/>
                <w:kern w:val="0"/>
                <w:sz w:val="20"/>
              </w:rPr>
            </w:pPr>
            <w:r>
              <w:rPr>
                <w:rFonts w:hint="eastAsia" w:ascii="宋体" w:hAnsi="宋体" w:cs="宋体"/>
                <w:color w:val="000000"/>
                <w:kern w:val="0"/>
                <w:sz w:val="20"/>
              </w:rPr>
              <w:t>故障率</w:t>
            </w:r>
          </w:p>
        </w:tc>
        <w:tc>
          <w:tcPr>
            <w:tcW w:w="1669" w:type="pct"/>
            <w:tcBorders>
              <w:top w:val="nil"/>
              <w:left w:val="nil"/>
              <w:bottom w:val="single" w:color="auto" w:sz="4" w:space="0"/>
              <w:right w:val="single" w:color="auto" w:sz="4" w:space="0"/>
            </w:tcBorders>
            <w:noWrap/>
            <w:vAlign w:val="center"/>
          </w:tcPr>
          <w:p w14:paraId="772479B2">
            <w:pPr>
              <w:widowControl/>
              <w:jc w:val="center"/>
              <w:rPr>
                <w:rFonts w:ascii="宋体" w:hAnsi="宋体" w:cs="宋体"/>
                <w:color w:val="000000"/>
                <w:kern w:val="0"/>
                <w:sz w:val="20"/>
              </w:rPr>
            </w:pPr>
            <w:r>
              <w:rPr>
                <w:rFonts w:hint="eastAsia" w:ascii="宋体" w:hAnsi="宋体" w:cs="宋体"/>
                <w:color w:val="000000"/>
                <w:kern w:val="0"/>
                <w:sz w:val="20"/>
              </w:rPr>
              <w:t>每台电梯每月故障次数低于0</w:t>
            </w:r>
            <w:r>
              <w:rPr>
                <w:rFonts w:ascii="宋体" w:hAnsi="宋体" w:cs="宋体"/>
                <w:color w:val="000000"/>
                <w:kern w:val="0"/>
                <w:sz w:val="20"/>
              </w:rPr>
              <w:t>.2</w:t>
            </w:r>
            <w:r>
              <w:rPr>
                <w:rFonts w:hint="eastAsia" w:ascii="宋体" w:hAnsi="宋体" w:cs="宋体"/>
                <w:color w:val="000000"/>
                <w:kern w:val="0"/>
                <w:sz w:val="20"/>
              </w:rPr>
              <w:t>次</w:t>
            </w:r>
          </w:p>
        </w:tc>
        <w:tc>
          <w:tcPr>
            <w:tcW w:w="1425" w:type="pct"/>
            <w:gridSpan w:val="2"/>
            <w:tcBorders>
              <w:top w:val="nil"/>
              <w:left w:val="nil"/>
              <w:bottom w:val="single" w:color="auto" w:sz="4" w:space="0"/>
              <w:right w:val="single" w:color="auto" w:sz="4" w:space="0"/>
            </w:tcBorders>
            <w:vAlign w:val="center"/>
          </w:tcPr>
          <w:p w14:paraId="1D61D9C3">
            <w:pPr>
              <w:widowControl/>
              <w:jc w:val="center"/>
              <w:rPr>
                <w:rFonts w:ascii="宋体" w:hAnsi="宋体" w:cs="宋体"/>
                <w:color w:val="000000"/>
                <w:kern w:val="0"/>
                <w:sz w:val="20"/>
              </w:rPr>
            </w:pPr>
            <w:r>
              <w:rPr>
                <w:rFonts w:hint="eastAsia" w:ascii="宋体" w:hAnsi="宋体" w:cs="宋体"/>
                <w:color w:val="000000"/>
                <w:kern w:val="0"/>
                <w:sz w:val="20"/>
              </w:rPr>
              <w:t>未达要求的电梯扣1分</w:t>
            </w:r>
          </w:p>
        </w:tc>
        <w:tc>
          <w:tcPr>
            <w:tcW w:w="513" w:type="pct"/>
            <w:tcBorders>
              <w:top w:val="nil"/>
              <w:left w:val="nil"/>
              <w:bottom w:val="single" w:color="auto" w:sz="4" w:space="0"/>
              <w:right w:val="single" w:color="auto" w:sz="4" w:space="0"/>
            </w:tcBorders>
            <w:noWrap/>
            <w:vAlign w:val="center"/>
          </w:tcPr>
          <w:p w14:paraId="3F23F22E">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3C1971D9">
            <w:pPr>
              <w:widowControl/>
              <w:jc w:val="center"/>
              <w:rPr>
                <w:rFonts w:ascii="宋体" w:hAnsi="宋体" w:cs="宋体"/>
                <w:color w:val="000000"/>
                <w:kern w:val="0"/>
                <w:sz w:val="20"/>
              </w:rPr>
            </w:pPr>
          </w:p>
        </w:tc>
      </w:tr>
      <w:tr w14:paraId="504F630F">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25AA43FE">
            <w:pPr>
              <w:widowControl/>
              <w:jc w:val="center"/>
              <w:rPr>
                <w:rFonts w:ascii="宋体" w:hAnsi="宋体" w:cs="宋体"/>
                <w:color w:val="000000"/>
                <w:kern w:val="0"/>
                <w:sz w:val="20"/>
              </w:rPr>
            </w:pPr>
            <w:r>
              <w:rPr>
                <w:rFonts w:hint="eastAsia" w:ascii="宋体" w:hAnsi="宋体" w:cs="宋体"/>
                <w:color w:val="000000"/>
                <w:kern w:val="0"/>
                <w:sz w:val="20"/>
              </w:rPr>
              <w:t>停梯情况</w:t>
            </w:r>
          </w:p>
        </w:tc>
        <w:tc>
          <w:tcPr>
            <w:tcW w:w="1669" w:type="pct"/>
            <w:tcBorders>
              <w:top w:val="nil"/>
              <w:left w:val="nil"/>
              <w:bottom w:val="single" w:color="auto" w:sz="4" w:space="0"/>
              <w:right w:val="single" w:color="auto" w:sz="4" w:space="0"/>
            </w:tcBorders>
            <w:noWrap/>
            <w:vAlign w:val="center"/>
          </w:tcPr>
          <w:p w14:paraId="4EDB66A3">
            <w:pPr>
              <w:widowControl/>
              <w:jc w:val="center"/>
              <w:rPr>
                <w:rFonts w:ascii="宋体" w:hAnsi="宋体" w:cs="宋体"/>
                <w:color w:val="000000"/>
                <w:kern w:val="0"/>
                <w:sz w:val="20"/>
              </w:rPr>
            </w:pPr>
            <w:r>
              <w:rPr>
                <w:rFonts w:hint="eastAsia" w:ascii="宋体" w:hAnsi="宋体" w:cs="宋体"/>
                <w:color w:val="000000"/>
                <w:kern w:val="0"/>
                <w:sz w:val="20"/>
              </w:rPr>
              <w:t>除改造、重大维修以外，</w:t>
            </w:r>
          </w:p>
          <w:p w14:paraId="3B44148C">
            <w:pPr>
              <w:widowControl/>
              <w:jc w:val="center"/>
              <w:rPr>
                <w:rFonts w:ascii="宋体" w:hAnsi="宋体" w:cs="宋体"/>
                <w:color w:val="000000"/>
                <w:kern w:val="0"/>
                <w:sz w:val="20"/>
              </w:rPr>
            </w:pPr>
            <w:r>
              <w:rPr>
                <w:rFonts w:hint="eastAsia" w:ascii="宋体" w:hAnsi="宋体" w:cs="宋体"/>
                <w:color w:val="000000"/>
                <w:kern w:val="0"/>
                <w:sz w:val="20"/>
              </w:rPr>
              <w:t>考核期内不能出现停梯的情况</w:t>
            </w:r>
          </w:p>
        </w:tc>
        <w:tc>
          <w:tcPr>
            <w:tcW w:w="1425" w:type="pct"/>
            <w:gridSpan w:val="2"/>
            <w:tcBorders>
              <w:top w:val="nil"/>
              <w:left w:val="nil"/>
              <w:bottom w:val="single" w:color="auto" w:sz="4" w:space="0"/>
              <w:right w:val="single" w:color="auto" w:sz="4" w:space="0"/>
            </w:tcBorders>
            <w:vAlign w:val="center"/>
          </w:tcPr>
          <w:p w14:paraId="5915ED69">
            <w:pPr>
              <w:widowControl/>
              <w:jc w:val="center"/>
              <w:rPr>
                <w:rFonts w:ascii="宋体" w:hAnsi="宋体" w:cs="宋体"/>
                <w:color w:val="000000"/>
                <w:kern w:val="0"/>
                <w:sz w:val="20"/>
              </w:rPr>
            </w:pPr>
            <w:r>
              <w:rPr>
                <w:rFonts w:hint="eastAsia" w:ascii="宋体" w:hAnsi="宋体" w:cs="宋体"/>
                <w:color w:val="000000"/>
                <w:kern w:val="0"/>
                <w:sz w:val="20"/>
              </w:rPr>
              <w:t>考核期内有停梯维修情况的，每次扣</w:t>
            </w:r>
            <w:r>
              <w:rPr>
                <w:rFonts w:ascii="宋体" w:hAnsi="宋体" w:cs="宋体"/>
                <w:color w:val="000000"/>
                <w:kern w:val="0"/>
                <w:sz w:val="20"/>
              </w:rPr>
              <w:t>1</w:t>
            </w:r>
            <w:r>
              <w:rPr>
                <w:rFonts w:hint="eastAsia" w:ascii="宋体" w:hAnsi="宋体" w:cs="宋体"/>
                <w:color w:val="000000"/>
                <w:kern w:val="0"/>
                <w:sz w:val="20"/>
              </w:rPr>
              <w:t>分</w:t>
            </w:r>
          </w:p>
        </w:tc>
        <w:tc>
          <w:tcPr>
            <w:tcW w:w="513" w:type="pct"/>
            <w:tcBorders>
              <w:top w:val="nil"/>
              <w:left w:val="nil"/>
              <w:bottom w:val="single" w:color="auto" w:sz="4" w:space="0"/>
              <w:right w:val="single" w:color="auto" w:sz="4" w:space="0"/>
            </w:tcBorders>
            <w:noWrap/>
            <w:vAlign w:val="center"/>
          </w:tcPr>
          <w:p w14:paraId="6ADCCAE2">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258458D9">
            <w:pPr>
              <w:widowControl/>
              <w:jc w:val="center"/>
              <w:rPr>
                <w:rFonts w:ascii="宋体" w:hAnsi="宋体" w:cs="宋体"/>
                <w:color w:val="000000"/>
                <w:kern w:val="0"/>
                <w:sz w:val="20"/>
              </w:rPr>
            </w:pPr>
          </w:p>
        </w:tc>
      </w:tr>
      <w:tr w14:paraId="792A8224">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0D41C895">
            <w:pPr>
              <w:widowControl/>
              <w:jc w:val="center"/>
              <w:rPr>
                <w:rFonts w:ascii="宋体" w:hAnsi="宋体" w:cs="宋体"/>
                <w:color w:val="000000"/>
                <w:kern w:val="0"/>
                <w:sz w:val="20"/>
              </w:rPr>
            </w:pPr>
            <w:r>
              <w:rPr>
                <w:rFonts w:hint="eastAsia" w:ascii="宋体" w:hAnsi="宋体" w:cs="宋体"/>
                <w:color w:val="000000"/>
                <w:kern w:val="0"/>
                <w:sz w:val="20"/>
              </w:rPr>
              <w:t>困人率</w:t>
            </w:r>
          </w:p>
        </w:tc>
        <w:tc>
          <w:tcPr>
            <w:tcW w:w="1669" w:type="pct"/>
            <w:tcBorders>
              <w:top w:val="nil"/>
              <w:left w:val="nil"/>
              <w:bottom w:val="single" w:color="auto" w:sz="4" w:space="0"/>
              <w:right w:val="single" w:color="auto" w:sz="4" w:space="0"/>
            </w:tcBorders>
            <w:noWrap/>
            <w:vAlign w:val="center"/>
          </w:tcPr>
          <w:p w14:paraId="4C6AF103">
            <w:pPr>
              <w:widowControl/>
              <w:jc w:val="center"/>
              <w:rPr>
                <w:rFonts w:ascii="宋体" w:hAnsi="宋体" w:cs="宋体"/>
                <w:color w:val="000000"/>
                <w:kern w:val="0"/>
                <w:sz w:val="20"/>
              </w:rPr>
            </w:pPr>
            <w:r>
              <w:rPr>
                <w:rFonts w:hint="eastAsia" w:ascii="宋体" w:hAnsi="宋体" w:cs="宋体"/>
                <w:color w:val="000000"/>
                <w:kern w:val="0"/>
                <w:sz w:val="20"/>
              </w:rPr>
              <w:t>每台电梯每月困人次数</w:t>
            </w:r>
          </w:p>
          <w:p w14:paraId="51E4D8DB">
            <w:pPr>
              <w:widowControl/>
              <w:jc w:val="center"/>
              <w:rPr>
                <w:rFonts w:ascii="宋体" w:hAnsi="宋体" w:cs="宋体"/>
                <w:color w:val="000000"/>
                <w:kern w:val="0"/>
                <w:sz w:val="20"/>
              </w:rPr>
            </w:pPr>
            <w:r>
              <w:rPr>
                <w:rFonts w:hint="eastAsia" w:ascii="宋体" w:hAnsi="宋体" w:cs="宋体"/>
                <w:color w:val="000000"/>
                <w:kern w:val="0"/>
                <w:sz w:val="20"/>
              </w:rPr>
              <w:t>低于0</w:t>
            </w:r>
            <w:r>
              <w:rPr>
                <w:rFonts w:ascii="宋体" w:hAnsi="宋体" w:cs="宋体"/>
                <w:color w:val="000000"/>
                <w:kern w:val="0"/>
                <w:sz w:val="20"/>
              </w:rPr>
              <w:t>.02</w:t>
            </w:r>
            <w:r>
              <w:rPr>
                <w:rFonts w:hint="eastAsia" w:ascii="宋体" w:hAnsi="宋体" w:cs="宋体"/>
                <w:color w:val="000000"/>
                <w:kern w:val="0"/>
                <w:sz w:val="20"/>
              </w:rPr>
              <w:t>次</w:t>
            </w:r>
          </w:p>
        </w:tc>
        <w:tc>
          <w:tcPr>
            <w:tcW w:w="1425" w:type="pct"/>
            <w:gridSpan w:val="2"/>
            <w:tcBorders>
              <w:top w:val="nil"/>
              <w:left w:val="nil"/>
              <w:bottom w:val="single" w:color="auto" w:sz="4" w:space="0"/>
              <w:right w:val="single" w:color="auto" w:sz="4" w:space="0"/>
            </w:tcBorders>
            <w:vAlign w:val="center"/>
          </w:tcPr>
          <w:p w14:paraId="29E8B18A">
            <w:pPr>
              <w:widowControl/>
              <w:rPr>
                <w:rFonts w:ascii="宋体" w:hAnsi="宋体" w:cs="宋体"/>
                <w:color w:val="000000"/>
                <w:kern w:val="0"/>
                <w:sz w:val="20"/>
              </w:rPr>
            </w:pPr>
            <w:r>
              <w:rPr>
                <w:rFonts w:hint="eastAsia" w:ascii="宋体" w:hAnsi="宋体" w:cs="宋体"/>
                <w:color w:val="000000"/>
                <w:kern w:val="0"/>
                <w:sz w:val="20"/>
              </w:rPr>
              <w:t>未达要求的电梯扣1分</w:t>
            </w:r>
          </w:p>
        </w:tc>
        <w:tc>
          <w:tcPr>
            <w:tcW w:w="513" w:type="pct"/>
            <w:tcBorders>
              <w:top w:val="nil"/>
              <w:left w:val="nil"/>
              <w:bottom w:val="single" w:color="auto" w:sz="4" w:space="0"/>
              <w:right w:val="single" w:color="auto" w:sz="4" w:space="0"/>
            </w:tcBorders>
            <w:noWrap/>
            <w:vAlign w:val="center"/>
          </w:tcPr>
          <w:p w14:paraId="1786494C">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1F14DC87">
            <w:pPr>
              <w:widowControl/>
              <w:jc w:val="center"/>
              <w:rPr>
                <w:rFonts w:ascii="宋体" w:hAnsi="宋体" w:cs="宋体"/>
                <w:color w:val="000000"/>
                <w:kern w:val="0"/>
                <w:sz w:val="20"/>
              </w:rPr>
            </w:pPr>
          </w:p>
        </w:tc>
      </w:tr>
      <w:tr w14:paraId="333AB7A9">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060A594B">
            <w:pPr>
              <w:widowControl/>
              <w:jc w:val="center"/>
              <w:rPr>
                <w:rFonts w:ascii="宋体" w:hAnsi="宋体" w:cs="宋体"/>
                <w:color w:val="000000"/>
                <w:kern w:val="0"/>
                <w:sz w:val="20"/>
              </w:rPr>
            </w:pPr>
            <w:r>
              <w:rPr>
                <w:rFonts w:hint="eastAsia" w:ascii="宋体" w:hAnsi="宋体" w:cs="宋体"/>
                <w:color w:val="000000"/>
                <w:kern w:val="0"/>
                <w:sz w:val="20"/>
              </w:rPr>
              <w:t>单梯重复维修</w:t>
            </w:r>
          </w:p>
        </w:tc>
        <w:tc>
          <w:tcPr>
            <w:tcW w:w="1669" w:type="pct"/>
            <w:tcBorders>
              <w:top w:val="nil"/>
              <w:left w:val="nil"/>
              <w:bottom w:val="single" w:color="auto" w:sz="4" w:space="0"/>
              <w:right w:val="single" w:color="auto" w:sz="4" w:space="0"/>
            </w:tcBorders>
            <w:noWrap/>
            <w:vAlign w:val="center"/>
          </w:tcPr>
          <w:p w14:paraId="5AD113CA">
            <w:pPr>
              <w:widowControl/>
              <w:jc w:val="center"/>
              <w:rPr>
                <w:rFonts w:ascii="宋体" w:hAnsi="宋体" w:cs="宋体"/>
                <w:color w:val="000000"/>
                <w:kern w:val="0"/>
                <w:sz w:val="20"/>
              </w:rPr>
            </w:pPr>
            <w:r>
              <w:rPr>
                <w:rFonts w:hint="eastAsia" w:ascii="宋体" w:hAnsi="宋体" w:cs="宋体"/>
                <w:color w:val="000000"/>
                <w:kern w:val="0"/>
                <w:sz w:val="20"/>
              </w:rPr>
              <w:t>考核期内的单梯维修次数</w:t>
            </w:r>
          </w:p>
        </w:tc>
        <w:tc>
          <w:tcPr>
            <w:tcW w:w="1425" w:type="pct"/>
            <w:gridSpan w:val="2"/>
            <w:tcBorders>
              <w:top w:val="nil"/>
              <w:left w:val="nil"/>
              <w:bottom w:val="single" w:color="auto" w:sz="4" w:space="0"/>
              <w:right w:val="single" w:color="auto" w:sz="4" w:space="0"/>
            </w:tcBorders>
            <w:vAlign w:val="center"/>
          </w:tcPr>
          <w:p w14:paraId="29C06F72">
            <w:pPr>
              <w:widowControl/>
              <w:jc w:val="center"/>
              <w:rPr>
                <w:rFonts w:ascii="宋体" w:hAnsi="宋体" w:cs="宋体"/>
                <w:color w:val="000000"/>
                <w:kern w:val="0"/>
                <w:sz w:val="20"/>
              </w:rPr>
            </w:pPr>
            <w:r>
              <w:rPr>
                <w:rFonts w:hint="eastAsia" w:ascii="宋体" w:hAnsi="宋体" w:cs="宋体"/>
                <w:color w:val="000000"/>
                <w:kern w:val="0"/>
                <w:sz w:val="20"/>
              </w:rPr>
              <w:t>考核期内每重复维修1次，每次扣</w:t>
            </w:r>
            <w:r>
              <w:rPr>
                <w:rFonts w:ascii="宋体" w:hAnsi="宋体" w:cs="宋体"/>
                <w:color w:val="000000"/>
                <w:kern w:val="0"/>
                <w:sz w:val="20"/>
              </w:rPr>
              <w:t>3</w:t>
            </w:r>
            <w:r>
              <w:rPr>
                <w:rFonts w:hint="eastAsia" w:ascii="宋体" w:hAnsi="宋体" w:cs="宋体"/>
                <w:color w:val="000000"/>
                <w:kern w:val="0"/>
                <w:sz w:val="20"/>
              </w:rPr>
              <w:t>分</w:t>
            </w:r>
          </w:p>
        </w:tc>
        <w:tc>
          <w:tcPr>
            <w:tcW w:w="513" w:type="pct"/>
            <w:tcBorders>
              <w:top w:val="nil"/>
              <w:left w:val="nil"/>
              <w:bottom w:val="single" w:color="auto" w:sz="4" w:space="0"/>
              <w:right w:val="single" w:color="auto" w:sz="4" w:space="0"/>
            </w:tcBorders>
            <w:noWrap/>
            <w:vAlign w:val="center"/>
          </w:tcPr>
          <w:p w14:paraId="6AA5A5EA">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32B81055">
            <w:pPr>
              <w:widowControl/>
              <w:jc w:val="center"/>
              <w:rPr>
                <w:rFonts w:ascii="宋体" w:hAnsi="宋体" w:cs="宋体"/>
                <w:color w:val="000000"/>
                <w:kern w:val="0"/>
                <w:sz w:val="20"/>
              </w:rPr>
            </w:pPr>
          </w:p>
        </w:tc>
      </w:tr>
      <w:tr w14:paraId="7E0104B1">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00F5EF55">
            <w:pPr>
              <w:widowControl/>
              <w:jc w:val="center"/>
              <w:rPr>
                <w:rFonts w:ascii="宋体" w:hAnsi="宋体" w:cs="宋体"/>
                <w:color w:val="000000"/>
                <w:kern w:val="0"/>
                <w:sz w:val="20"/>
              </w:rPr>
            </w:pPr>
            <w:r>
              <w:rPr>
                <w:rFonts w:hint="eastAsia" w:ascii="宋体" w:hAnsi="宋体" w:cs="宋体"/>
                <w:color w:val="000000"/>
                <w:kern w:val="0"/>
                <w:sz w:val="20"/>
              </w:rPr>
              <w:t>一般维修</w:t>
            </w:r>
          </w:p>
        </w:tc>
        <w:tc>
          <w:tcPr>
            <w:tcW w:w="1669" w:type="pct"/>
            <w:tcBorders>
              <w:top w:val="nil"/>
              <w:left w:val="nil"/>
              <w:bottom w:val="single" w:color="auto" w:sz="4" w:space="0"/>
              <w:right w:val="single" w:color="auto" w:sz="4" w:space="0"/>
            </w:tcBorders>
            <w:noWrap/>
            <w:vAlign w:val="center"/>
          </w:tcPr>
          <w:p w14:paraId="4E4B08C2">
            <w:pPr>
              <w:widowControl/>
              <w:jc w:val="center"/>
              <w:rPr>
                <w:rFonts w:ascii="宋体" w:hAnsi="宋体" w:cs="宋体"/>
                <w:color w:val="000000"/>
                <w:kern w:val="0"/>
                <w:sz w:val="20"/>
              </w:rPr>
            </w:pPr>
            <w:r>
              <w:rPr>
                <w:rFonts w:hint="eastAsia" w:ascii="宋体" w:hAnsi="宋体" w:cs="宋体"/>
                <w:color w:val="000000"/>
                <w:kern w:val="0"/>
                <w:sz w:val="20"/>
              </w:rPr>
              <w:t>一般维修故障未按合同时间完成修复</w:t>
            </w:r>
          </w:p>
        </w:tc>
        <w:tc>
          <w:tcPr>
            <w:tcW w:w="1425" w:type="pct"/>
            <w:gridSpan w:val="2"/>
            <w:tcBorders>
              <w:top w:val="nil"/>
              <w:left w:val="nil"/>
              <w:bottom w:val="single" w:color="auto" w:sz="4" w:space="0"/>
              <w:right w:val="single" w:color="auto" w:sz="4" w:space="0"/>
            </w:tcBorders>
            <w:vAlign w:val="center"/>
          </w:tcPr>
          <w:p w14:paraId="20B11F49">
            <w:pPr>
              <w:widowControl/>
              <w:jc w:val="center"/>
              <w:rPr>
                <w:rFonts w:ascii="宋体" w:hAnsi="宋体" w:cs="宋体"/>
                <w:color w:val="000000"/>
                <w:kern w:val="0"/>
                <w:sz w:val="20"/>
              </w:rPr>
            </w:pPr>
            <w:r>
              <w:rPr>
                <w:rFonts w:hint="eastAsia" w:ascii="宋体" w:hAnsi="宋体" w:cs="宋体"/>
                <w:color w:val="000000"/>
                <w:kern w:val="0"/>
                <w:sz w:val="20"/>
              </w:rPr>
              <w:t>未达要求1次扣3分</w:t>
            </w:r>
          </w:p>
        </w:tc>
        <w:tc>
          <w:tcPr>
            <w:tcW w:w="513" w:type="pct"/>
            <w:tcBorders>
              <w:top w:val="nil"/>
              <w:left w:val="nil"/>
              <w:bottom w:val="single" w:color="auto" w:sz="4" w:space="0"/>
              <w:right w:val="single" w:color="auto" w:sz="4" w:space="0"/>
            </w:tcBorders>
            <w:noWrap/>
            <w:vAlign w:val="center"/>
          </w:tcPr>
          <w:p w14:paraId="4BFF1C40">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263347D3">
            <w:pPr>
              <w:widowControl/>
              <w:jc w:val="center"/>
              <w:rPr>
                <w:rFonts w:ascii="宋体" w:hAnsi="宋体" w:cs="宋体"/>
                <w:color w:val="000000"/>
                <w:kern w:val="0"/>
                <w:sz w:val="20"/>
              </w:rPr>
            </w:pPr>
          </w:p>
        </w:tc>
      </w:tr>
      <w:tr w14:paraId="4F5A6A61">
        <w:tblPrEx>
          <w:tblCellMar>
            <w:top w:w="0" w:type="dxa"/>
            <w:left w:w="108" w:type="dxa"/>
            <w:bottom w:w="0" w:type="dxa"/>
            <w:right w:w="108" w:type="dxa"/>
          </w:tblCellMar>
        </w:tblPrEx>
        <w:trPr>
          <w:trHeight w:val="469" w:hRule="atLeast"/>
          <w:jc w:val="center"/>
        </w:trPr>
        <w:tc>
          <w:tcPr>
            <w:tcW w:w="792" w:type="pct"/>
            <w:tcBorders>
              <w:top w:val="nil"/>
              <w:left w:val="single" w:color="auto" w:sz="4" w:space="0"/>
              <w:bottom w:val="single" w:color="auto" w:sz="4" w:space="0"/>
              <w:right w:val="single" w:color="auto" w:sz="4" w:space="0"/>
            </w:tcBorders>
            <w:noWrap/>
            <w:vAlign w:val="center"/>
          </w:tcPr>
          <w:p w14:paraId="36734E81">
            <w:pPr>
              <w:widowControl/>
              <w:jc w:val="center"/>
              <w:rPr>
                <w:rFonts w:ascii="宋体" w:hAnsi="宋体" w:cs="宋体"/>
                <w:color w:val="000000"/>
                <w:kern w:val="0"/>
                <w:sz w:val="20"/>
              </w:rPr>
            </w:pPr>
            <w:r>
              <w:rPr>
                <w:rFonts w:hint="eastAsia" w:ascii="宋体" w:hAnsi="宋体" w:cs="宋体"/>
                <w:color w:val="000000"/>
                <w:kern w:val="0"/>
                <w:sz w:val="20"/>
              </w:rPr>
              <w:t>重大维修</w:t>
            </w:r>
          </w:p>
        </w:tc>
        <w:tc>
          <w:tcPr>
            <w:tcW w:w="1669" w:type="pct"/>
            <w:tcBorders>
              <w:top w:val="nil"/>
              <w:left w:val="nil"/>
              <w:bottom w:val="single" w:color="auto" w:sz="4" w:space="0"/>
              <w:right w:val="single" w:color="auto" w:sz="4" w:space="0"/>
            </w:tcBorders>
            <w:vAlign w:val="center"/>
          </w:tcPr>
          <w:p w14:paraId="6FC66057">
            <w:pPr>
              <w:widowControl/>
              <w:jc w:val="center"/>
              <w:rPr>
                <w:rFonts w:ascii="宋体" w:hAnsi="宋体" w:cs="宋体"/>
                <w:color w:val="000000"/>
                <w:kern w:val="0"/>
                <w:sz w:val="20"/>
              </w:rPr>
            </w:pPr>
            <w:bookmarkStart w:id="594" w:name="_Hlk66346986"/>
            <w:r>
              <w:rPr>
                <w:rFonts w:hint="eastAsia" w:ascii="宋体" w:hAnsi="宋体" w:cs="宋体"/>
                <w:color w:val="000000"/>
                <w:kern w:val="0"/>
                <w:sz w:val="20"/>
              </w:rPr>
              <w:t>重大维修故障未按合同时间完成修复</w:t>
            </w:r>
            <w:bookmarkEnd w:id="594"/>
          </w:p>
        </w:tc>
        <w:tc>
          <w:tcPr>
            <w:tcW w:w="1425" w:type="pct"/>
            <w:gridSpan w:val="2"/>
            <w:tcBorders>
              <w:top w:val="nil"/>
              <w:left w:val="nil"/>
              <w:bottom w:val="single" w:color="auto" w:sz="4" w:space="0"/>
              <w:right w:val="single" w:color="auto" w:sz="4" w:space="0"/>
            </w:tcBorders>
            <w:vAlign w:val="center"/>
          </w:tcPr>
          <w:p w14:paraId="6641E8BF">
            <w:pPr>
              <w:widowControl/>
              <w:jc w:val="center"/>
              <w:rPr>
                <w:rFonts w:ascii="宋体" w:hAnsi="宋体" w:cs="宋体"/>
                <w:color w:val="000000"/>
                <w:kern w:val="0"/>
                <w:sz w:val="20"/>
              </w:rPr>
            </w:pPr>
            <w:r>
              <w:rPr>
                <w:rFonts w:hint="eastAsia" w:ascii="宋体" w:hAnsi="宋体" w:cs="宋体"/>
                <w:color w:val="000000"/>
                <w:kern w:val="0"/>
                <w:sz w:val="20"/>
              </w:rPr>
              <w:t>未达要求1次扣5分</w:t>
            </w:r>
          </w:p>
          <w:p w14:paraId="0E5CD1A6">
            <w:pPr>
              <w:widowControl/>
              <w:jc w:val="center"/>
              <w:rPr>
                <w:rFonts w:ascii="宋体" w:hAnsi="宋体" w:cs="宋体"/>
                <w:color w:val="000000"/>
                <w:kern w:val="0"/>
                <w:sz w:val="20"/>
              </w:rPr>
            </w:pPr>
            <w:r>
              <w:rPr>
                <w:rFonts w:hint="eastAsia" w:ascii="宋体" w:hAnsi="宋体" w:cs="宋体"/>
                <w:color w:val="000000"/>
                <w:kern w:val="0"/>
                <w:sz w:val="20"/>
              </w:rPr>
              <w:t>并按合同要求扣除维修费</w:t>
            </w:r>
          </w:p>
        </w:tc>
        <w:tc>
          <w:tcPr>
            <w:tcW w:w="513" w:type="pct"/>
            <w:tcBorders>
              <w:top w:val="nil"/>
              <w:left w:val="nil"/>
              <w:bottom w:val="single" w:color="auto" w:sz="4" w:space="0"/>
              <w:right w:val="single" w:color="auto" w:sz="4" w:space="0"/>
            </w:tcBorders>
            <w:noWrap/>
            <w:vAlign w:val="center"/>
          </w:tcPr>
          <w:p w14:paraId="103A8306">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tcBorders>
              <w:top w:val="nil"/>
              <w:left w:val="nil"/>
              <w:bottom w:val="single" w:color="auto" w:sz="4" w:space="0"/>
              <w:right w:val="single" w:color="auto" w:sz="4" w:space="0"/>
            </w:tcBorders>
            <w:noWrap/>
            <w:vAlign w:val="center"/>
          </w:tcPr>
          <w:p w14:paraId="1C168ACC">
            <w:pPr>
              <w:widowControl/>
              <w:jc w:val="center"/>
              <w:rPr>
                <w:rFonts w:ascii="宋体" w:hAnsi="宋体" w:cs="宋体"/>
                <w:color w:val="000000"/>
                <w:kern w:val="0"/>
                <w:sz w:val="20"/>
              </w:rPr>
            </w:pPr>
            <w:r>
              <w:rPr>
                <w:rFonts w:hint="eastAsia" w:ascii="宋体" w:hAnsi="宋体" w:cs="宋体"/>
                <w:color w:val="000000"/>
                <w:kern w:val="0"/>
                <w:sz w:val="20"/>
              </w:rPr>
              <w:t>　</w:t>
            </w:r>
          </w:p>
        </w:tc>
      </w:tr>
      <w:tr w14:paraId="6F245EC8">
        <w:tblPrEx>
          <w:tblCellMar>
            <w:top w:w="0" w:type="dxa"/>
            <w:left w:w="108" w:type="dxa"/>
            <w:bottom w:w="0" w:type="dxa"/>
            <w:right w:w="108" w:type="dxa"/>
          </w:tblCellMar>
        </w:tblPrEx>
        <w:trPr>
          <w:trHeight w:val="555" w:hRule="atLeast"/>
          <w:jc w:val="center"/>
        </w:trPr>
        <w:tc>
          <w:tcPr>
            <w:tcW w:w="792" w:type="pct"/>
            <w:tcBorders>
              <w:top w:val="nil"/>
              <w:left w:val="single" w:color="auto" w:sz="4" w:space="0"/>
              <w:bottom w:val="single" w:color="auto" w:sz="4" w:space="0"/>
              <w:right w:val="nil"/>
            </w:tcBorders>
            <w:noWrap/>
            <w:vAlign w:val="center"/>
          </w:tcPr>
          <w:p w14:paraId="0071AE02">
            <w:pPr>
              <w:widowControl/>
              <w:jc w:val="center"/>
              <w:rPr>
                <w:rFonts w:ascii="宋体" w:hAnsi="宋体" w:cs="宋体"/>
                <w:color w:val="000000"/>
                <w:kern w:val="0"/>
                <w:sz w:val="20"/>
              </w:rPr>
            </w:pPr>
            <w:r>
              <w:rPr>
                <w:rFonts w:hint="eastAsia" w:ascii="宋体" w:hAnsi="宋体" w:cs="宋体"/>
                <w:color w:val="000000"/>
                <w:kern w:val="0"/>
                <w:sz w:val="20"/>
              </w:rPr>
              <w:t>服务标准</w:t>
            </w:r>
          </w:p>
        </w:tc>
        <w:tc>
          <w:tcPr>
            <w:tcW w:w="1669" w:type="pct"/>
            <w:tcBorders>
              <w:top w:val="nil"/>
              <w:left w:val="single" w:color="auto" w:sz="4" w:space="0"/>
              <w:bottom w:val="single" w:color="auto" w:sz="4" w:space="0"/>
              <w:right w:val="single" w:color="auto" w:sz="4" w:space="0"/>
            </w:tcBorders>
            <w:vAlign w:val="center"/>
          </w:tcPr>
          <w:p w14:paraId="29CEC956">
            <w:pPr>
              <w:widowControl/>
              <w:jc w:val="center"/>
              <w:rPr>
                <w:rFonts w:ascii="宋体" w:hAnsi="宋体" w:cs="宋体"/>
                <w:color w:val="000000"/>
                <w:kern w:val="0"/>
                <w:sz w:val="20"/>
              </w:rPr>
            </w:pPr>
            <w:r>
              <w:rPr>
                <w:rFonts w:hint="eastAsia" w:ascii="宋体" w:hAnsi="宋体" w:cs="宋体"/>
                <w:color w:val="000000"/>
                <w:kern w:val="0"/>
                <w:sz w:val="20"/>
              </w:rPr>
              <w:t>按国家及行业相关</w:t>
            </w:r>
          </w:p>
          <w:p w14:paraId="6926F75A">
            <w:pPr>
              <w:widowControl/>
              <w:jc w:val="center"/>
              <w:rPr>
                <w:rFonts w:ascii="宋体" w:hAnsi="宋体" w:cs="宋体"/>
                <w:color w:val="000000"/>
                <w:kern w:val="0"/>
                <w:sz w:val="20"/>
              </w:rPr>
            </w:pPr>
            <w:r>
              <w:rPr>
                <w:rFonts w:hint="eastAsia" w:ascii="宋体" w:hAnsi="宋体" w:cs="宋体"/>
                <w:color w:val="000000"/>
                <w:kern w:val="0"/>
                <w:sz w:val="20"/>
              </w:rPr>
              <w:t>法规要求履行维保责任</w:t>
            </w:r>
          </w:p>
        </w:tc>
        <w:tc>
          <w:tcPr>
            <w:tcW w:w="1425" w:type="pct"/>
            <w:gridSpan w:val="2"/>
            <w:tcBorders>
              <w:top w:val="nil"/>
              <w:left w:val="nil"/>
              <w:bottom w:val="single" w:color="auto" w:sz="4" w:space="0"/>
              <w:right w:val="single" w:color="auto" w:sz="4" w:space="0"/>
            </w:tcBorders>
            <w:vAlign w:val="center"/>
          </w:tcPr>
          <w:p w14:paraId="2ABF7438">
            <w:pPr>
              <w:widowControl/>
              <w:jc w:val="center"/>
              <w:rPr>
                <w:rFonts w:ascii="宋体" w:hAnsi="宋体" w:cs="宋体"/>
                <w:color w:val="000000"/>
                <w:kern w:val="0"/>
                <w:sz w:val="20"/>
              </w:rPr>
            </w:pPr>
            <w:r>
              <w:rPr>
                <w:rFonts w:hint="eastAsia" w:ascii="宋体" w:hAnsi="宋体" w:cs="宋体"/>
                <w:color w:val="000000"/>
                <w:kern w:val="0"/>
                <w:sz w:val="20"/>
              </w:rPr>
              <w:t>未达要求1次扣</w:t>
            </w:r>
            <w:r>
              <w:rPr>
                <w:rFonts w:ascii="宋体" w:hAnsi="宋体" w:cs="宋体"/>
                <w:color w:val="000000"/>
                <w:kern w:val="0"/>
                <w:sz w:val="20"/>
              </w:rPr>
              <w:t>10</w:t>
            </w:r>
            <w:r>
              <w:rPr>
                <w:rFonts w:hint="eastAsia" w:ascii="宋体" w:hAnsi="宋体" w:cs="宋体"/>
                <w:color w:val="000000"/>
                <w:kern w:val="0"/>
                <w:sz w:val="20"/>
              </w:rPr>
              <w:t>分</w:t>
            </w:r>
          </w:p>
        </w:tc>
        <w:tc>
          <w:tcPr>
            <w:tcW w:w="513" w:type="pct"/>
            <w:tcBorders>
              <w:top w:val="nil"/>
              <w:left w:val="nil"/>
              <w:bottom w:val="single" w:color="auto" w:sz="4" w:space="0"/>
              <w:right w:val="single" w:color="auto" w:sz="4" w:space="0"/>
            </w:tcBorders>
            <w:noWrap/>
            <w:vAlign w:val="center"/>
          </w:tcPr>
          <w:p w14:paraId="7E4B700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vMerge w:val="restart"/>
            <w:tcBorders>
              <w:top w:val="nil"/>
              <w:left w:val="nil"/>
              <w:right w:val="single" w:color="auto" w:sz="4" w:space="0"/>
            </w:tcBorders>
            <w:noWrap/>
            <w:vAlign w:val="center"/>
          </w:tcPr>
          <w:p w14:paraId="35A8EBC8">
            <w:pPr>
              <w:rPr>
                <w:rFonts w:ascii="宋体" w:hAnsi="宋体" w:cs="宋体"/>
                <w:color w:val="000000"/>
                <w:kern w:val="0"/>
                <w:sz w:val="20"/>
              </w:rPr>
            </w:pPr>
            <w:r>
              <w:rPr>
                <w:rFonts w:hint="eastAsia" w:ascii="宋体" w:hAnsi="宋体" w:cs="宋体"/>
                <w:color w:val="000000"/>
                <w:kern w:val="0"/>
                <w:sz w:val="20"/>
              </w:rPr>
              <w:t>合同期内出现2次，扣取履约保证金并解除合同</w:t>
            </w:r>
          </w:p>
        </w:tc>
      </w:tr>
      <w:tr w14:paraId="48D13D7C">
        <w:tblPrEx>
          <w:tblCellMar>
            <w:top w:w="0" w:type="dxa"/>
            <w:left w:w="108" w:type="dxa"/>
            <w:bottom w:w="0" w:type="dxa"/>
            <w:right w:w="108" w:type="dxa"/>
          </w:tblCellMar>
        </w:tblPrEx>
        <w:trPr>
          <w:trHeight w:val="405" w:hRule="atLeast"/>
          <w:jc w:val="center"/>
        </w:trPr>
        <w:tc>
          <w:tcPr>
            <w:tcW w:w="792" w:type="pct"/>
            <w:tcBorders>
              <w:top w:val="nil"/>
              <w:left w:val="single" w:color="auto" w:sz="4" w:space="0"/>
              <w:bottom w:val="single" w:color="auto" w:sz="4" w:space="0"/>
              <w:right w:val="nil"/>
            </w:tcBorders>
            <w:noWrap/>
            <w:vAlign w:val="center"/>
          </w:tcPr>
          <w:p w14:paraId="2FB2A72C">
            <w:pPr>
              <w:widowControl/>
              <w:jc w:val="center"/>
              <w:rPr>
                <w:rFonts w:ascii="宋体" w:hAnsi="宋体" w:cs="宋体"/>
                <w:color w:val="000000"/>
                <w:kern w:val="0"/>
                <w:sz w:val="20"/>
              </w:rPr>
            </w:pPr>
            <w:r>
              <w:rPr>
                <w:rFonts w:hint="eastAsia" w:ascii="宋体" w:hAnsi="宋体" w:cs="宋体"/>
                <w:color w:val="000000"/>
                <w:kern w:val="0"/>
                <w:sz w:val="20"/>
              </w:rPr>
              <w:t>检验达标</w:t>
            </w:r>
          </w:p>
        </w:tc>
        <w:tc>
          <w:tcPr>
            <w:tcW w:w="1669" w:type="pct"/>
            <w:tcBorders>
              <w:top w:val="nil"/>
              <w:left w:val="single" w:color="auto" w:sz="4" w:space="0"/>
              <w:bottom w:val="single" w:color="auto" w:sz="4" w:space="0"/>
              <w:right w:val="single" w:color="auto" w:sz="4" w:space="0"/>
            </w:tcBorders>
            <w:noWrap/>
            <w:vAlign w:val="center"/>
          </w:tcPr>
          <w:p w14:paraId="236D824A">
            <w:pPr>
              <w:widowControl/>
              <w:jc w:val="center"/>
              <w:rPr>
                <w:rFonts w:ascii="宋体" w:hAnsi="宋体" w:cs="宋体"/>
                <w:color w:val="000000"/>
                <w:kern w:val="0"/>
                <w:sz w:val="20"/>
              </w:rPr>
            </w:pPr>
            <w:r>
              <w:rPr>
                <w:rFonts w:hint="eastAsia" w:ascii="宋体" w:hAnsi="宋体" w:cs="宋体"/>
                <w:color w:val="000000"/>
                <w:kern w:val="0"/>
                <w:sz w:val="20"/>
              </w:rPr>
              <w:t>电梯监督检验及定期检验</w:t>
            </w:r>
          </w:p>
        </w:tc>
        <w:tc>
          <w:tcPr>
            <w:tcW w:w="1425" w:type="pct"/>
            <w:gridSpan w:val="2"/>
            <w:tcBorders>
              <w:top w:val="nil"/>
              <w:left w:val="nil"/>
              <w:bottom w:val="single" w:color="auto" w:sz="4" w:space="0"/>
              <w:right w:val="single" w:color="auto" w:sz="4" w:space="0"/>
            </w:tcBorders>
            <w:vAlign w:val="center"/>
          </w:tcPr>
          <w:p w14:paraId="0070FEC0">
            <w:pPr>
              <w:widowControl/>
              <w:jc w:val="center"/>
              <w:rPr>
                <w:rFonts w:ascii="宋体" w:hAnsi="宋体" w:cs="宋体"/>
                <w:color w:val="000000"/>
                <w:kern w:val="0"/>
                <w:sz w:val="20"/>
              </w:rPr>
            </w:pPr>
            <w:r>
              <w:rPr>
                <w:rFonts w:hint="eastAsia" w:ascii="宋体" w:hAnsi="宋体" w:cs="宋体"/>
                <w:color w:val="000000"/>
                <w:kern w:val="0"/>
                <w:sz w:val="20"/>
              </w:rPr>
              <w:t>未达要求1次扣1</w:t>
            </w:r>
            <w:r>
              <w:rPr>
                <w:rFonts w:ascii="宋体" w:hAnsi="宋体" w:cs="宋体"/>
                <w:color w:val="000000"/>
                <w:kern w:val="0"/>
                <w:sz w:val="20"/>
              </w:rPr>
              <w:t>0</w:t>
            </w:r>
            <w:r>
              <w:rPr>
                <w:rFonts w:hint="eastAsia" w:ascii="宋体" w:hAnsi="宋体" w:cs="宋体"/>
                <w:color w:val="000000"/>
                <w:kern w:val="0"/>
                <w:sz w:val="20"/>
              </w:rPr>
              <w:t>分</w:t>
            </w:r>
          </w:p>
        </w:tc>
        <w:tc>
          <w:tcPr>
            <w:tcW w:w="513" w:type="pct"/>
            <w:tcBorders>
              <w:top w:val="nil"/>
              <w:left w:val="nil"/>
              <w:bottom w:val="single" w:color="auto" w:sz="4" w:space="0"/>
              <w:right w:val="single" w:color="auto" w:sz="4" w:space="0"/>
            </w:tcBorders>
            <w:noWrap/>
            <w:vAlign w:val="center"/>
          </w:tcPr>
          <w:p w14:paraId="56A7910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vMerge w:val="continue"/>
            <w:tcBorders>
              <w:left w:val="nil"/>
              <w:bottom w:val="single" w:color="auto" w:sz="4" w:space="0"/>
              <w:right w:val="single" w:color="auto" w:sz="4" w:space="0"/>
            </w:tcBorders>
            <w:noWrap/>
            <w:vAlign w:val="center"/>
          </w:tcPr>
          <w:p w14:paraId="6D266570">
            <w:pPr>
              <w:widowControl/>
              <w:jc w:val="center"/>
              <w:rPr>
                <w:rFonts w:ascii="宋体" w:hAnsi="宋体" w:cs="宋体"/>
                <w:color w:val="000000"/>
                <w:kern w:val="0"/>
                <w:sz w:val="20"/>
              </w:rPr>
            </w:pPr>
          </w:p>
        </w:tc>
      </w:tr>
      <w:tr w14:paraId="6C62F05F">
        <w:tblPrEx>
          <w:tblCellMar>
            <w:top w:w="0" w:type="dxa"/>
            <w:left w:w="108" w:type="dxa"/>
            <w:bottom w:w="0" w:type="dxa"/>
            <w:right w:w="108" w:type="dxa"/>
          </w:tblCellMar>
        </w:tblPrEx>
        <w:trPr>
          <w:trHeight w:val="405" w:hRule="atLeast"/>
          <w:jc w:val="center"/>
        </w:trPr>
        <w:tc>
          <w:tcPr>
            <w:tcW w:w="792" w:type="pct"/>
            <w:tcBorders>
              <w:top w:val="nil"/>
              <w:left w:val="single" w:color="auto" w:sz="4" w:space="0"/>
              <w:bottom w:val="single" w:color="auto" w:sz="4" w:space="0"/>
              <w:right w:val="nil"/>
            </w:tcBorders>
            <w:noWrap/>
            <w:vAlign w:val="center"/>
          </w:tcPr>
          <w:p w14:paraId="0ABE4FB6">
            <w:pPr>
              <w:widowControl/>
              <w:jc w:val="center"/>
              <w:rPr>
                <w:rFonts w:ascii="宋体" w:hAnsi="宋体" w:cs="宋体"/>
                <w:color w:val="000000"/>
                <w:kern w:val="0"/>
                <w:sz w:val="20"/>
              </w:rPr>
            </w:pPr>
            <w:r>
              <w:rPr>
                <w:rFonts w:hint="eastAsia" w:ascii="宋体" w:hAnsi="宋体" w:cs="宋体"/>
                <w:color w:val="000000"/>
                <w:kern w:val="0"/>
                <w:sz w:val="20"/>
              </w:rPr>
              <w:t>成本核算</w:t>
            </w:r>
          </w:p>
        </w:tc>
        <w:tc>
          <w:tcPr>
            <w:tcW w:w="1669" w:type="pct"/>
            <w:tcBorders>
              <w:top w:val="nil"/>
              <w:left w:val="single" w:color="auto" w:sz="4" w:space="0"/>
              <w:bottom w:val="single" w:color="auto" w:sz="4" w:space="0"/>
              <w:right w:val="single" w:color="auto" w:sz="4" w:space="0"/>
            </w:tcBorders>
            <w:noWrap/>
            <w:vAlign w:val="center"/>
          </w:tcPr>
          <w:p w14:paraId="1FA0D09B">
            <w:pPr>
              <w:widowControl/>
              <w:jc w:val="center"/>
              <w:rPr>
                <w:rFonts w:ascii="宋体" w:hAnsi="宋体" w:cs="宋体"/>
                <w:color w:val="000000"/>
                <w:kern w:val="0"/>
                <w:sz w:val="20"/>
              </w:rPr>
            </w:pPr>
            <w:r>
              <w:rPr>
                <w:rFonts w:hint="eastAsia" w:ascii="宋体" w:hAnsi="宋体" w:cs="宋体"/>
                <w:color w:val="000000"/>
                <w:kern w:val="0"/>
                <w:sz w:val="20"/>
              </w:rPr>
              <w:t>电梯企业承诺按年建立小区电梯维修台账，并请第三方审价机构对全年成本进行核算。</w:t>
            </w:r>
          </w:p>
        </w:tc>
        <w:tc>
          <w:tcPr>
            <w:tcW w:w="1425" w:type="pct"/>
            <w:gridSpan w:val="2"/>
            <w:tcBorders>
              <w:top w:val="nil"/>
              <w:left w:val="nil"/>
              <w:bottom w:val="single" w:color="auto" w:sz="4" w:space="0"/>
              <w:right w:val="single" w:color="auto" w:sz="4" w:space="0"/>
            </w:tcBorders>
            <w:vAlign w:val="center"/>
          </w:tcPr>
          <w:p w14:paraId="20CB9064">
            <w:pPr>
              <w:widowControl/>
              <w:jc w:val="center"/>
              <w:rPr>
                <w:rFonts w:ascii="宋体" w:hAnsi="宋体" w:cs="宋体"/>
                <w:color w:val="000000"/>
                <w:kern w:val="0"/>
                <w:sz w:val="20"/>
              </w:rPr>
            </w:pPr>
            <w:r>
              <w:rPr>
                <w:rFonts w:hint="eastAsia" w:ascii="宋体" w:hAnsi="宋体" w:cs="宋体"/>
                <w:color w:val="000000"/>
                <w:kern w:val="0"/>
                <w:sz w:val="20"/>
              </w:rPr>
              <w:t>维修台账和成本结算未报市公租房管理局备案的扣10分。</w:t>
            </w:r>
          </w:p>
        </w:tc>
        <w:tc>
          <w:tcPr>
            <w:tcW w:w="513" w:type="pct"/>
            <w:tcBorders>
              <w:top w:val="nil"/>
              <w:left w:val="nil"/>
              <w:bottom w:val="single" w:color="auto" w:sz="4" w:space="0"/>
              <w:right w:val="single" w:color="auto" w:sz="4" w:space="0"/>
            </w:tcBorders>
            <w:noWrap/>
            <w:vAlign w:val="center"/>
          </w:tcPr>
          <w:p w14:paraId="64C8D3F3">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0A0C059B">
            <w:pPr>
              <w:widowControl/>
              <w:jc w:val="left"/>
              <w:rPr>
                <w:rFonts w:ascii="宋体" w:hAnsi="宋体" w:cs="宋体"/>
                <w:color w:val="000000"/>
                <w:kern w:val="0"/>
                <w:sz w:val="20"/>
              </w:rPr>
            </w:pPr>
            <w:r>
              <w:rPr>
                <w:rFonts w:hint="eastAsia" w:ascii="宋体" w:hAnsi="宋体" w:cs="宋体"/>
                <w:color w:val="000000"/>
                <w:kern w:val="0"/>
                <w:sz w:val="20"/>
              </w:rPr>
              <w:t>该年度未完成成本核算。由甲方聘请第三方审价机构进行评审，相关费用从履约保证金扣取。</w:t>
            </w:r>
          </w:p>
        </w:tc>
      </w:tr>
      <w:tr w14:paraId="2634E911">
        <w:tblPrEx>
          <w:tblCellMar>
            <w:top w:w="0" w:type="dxa"/>
            <w:left w:w="108" w:type="dxa"/>
            <w:bottom w:w="0" w:type="dxa"/>
            <w:right w:w="108" w:type="dxa"/>
          </w:tblCellMar>
        </w:tblPrEx>
        <w:trPr>
          <w:trHeight w:val="405" w:hRule="atLeast"/>
          <w:jc w:val="center"/>
        </w:trPr>
        <w:tc>
          <w:tcPr>
            <w:tcW w:w="792" w:type="pct"/>
            <w:tcBorders>
              <w:top w:val="nil"/>
              <w:left w:val="single" w:color="auto" w:sz="4" w:space="0"/>
              <w:bottom w:val="single" w:color="auto" w:sz="4" w:space="0"/>
              <w:right w:val="nil"/>
            </w:tcBorders>
            <w:noWrap/>
            <w:vAlign w:val="center"/>
          </w:tcPr>
          <w:p w14:paraId="2178935C">
            <w:pPr>
              <w:widowControl/>
              <w:jc w:val="center"/>
              <w:rPr>
                <w:rFonts w:ascii="宋体" w:hAnsi="宋体" w:cs="宋体"/>
                <w:color w:val="000000"/>
                <w:kern w:val="0"/>
                <w:sz w:val="20"/>
              </w:rPr>
            </w:pPr>
            <w:r>
              <w:rPr>
                <w:rFonts w:hint="eastAsia" w:ascii="宋体" w:hAnsi="宋体" w:cs="宋体"/>
                <w:color w:val="000000"/>
                <w:kern w:val="0"/>
                <w:sz w:val="20"/>
              </w:rPr>
              <w:t>等级评定</w:t>
            </w:r>
          </w:p>
        </w:tc>
        <w:tc>
          <w:tcPr>
            <w:tcW w:w="1669" w:type="pct"/>
            <w:tcBorders>
              <w:top w:val="nil"/>
              <w:left w:val="single" w:color="auto" w:sz="4" w:space="0"/>
              <w:bottom w:val="single" w:color="auto" w:sz="4" w:space="0"/>
              <w:right w:val="single" w:color="auto" w:sz="4" w:space="0"/>
            </w:tcBorders>
            <w:noWrap/>
            <w:vAlign w:val="center"/>
          </w:tcPr>
          <w:p w14:paraId="452C0A5D">
            <w:pPr>
              <w:widowControl/>
              <w:jc w:val="center"/>
              <w:rPr>
                <w:rFonts w:ascii="宋体" w:hAnsi="宋体" w:cs="宋体"/>
                <w:color w:val="000000"/>
                <w:kern w:val="0"/>
                <w:sz w:val="20"/>
              </w:rPr>
            </w:pPr>
            <w:r>
              <w:rPr>
                <w:rFonts w:hint="eastAsia" w:ascii="宋体" w:hAnsi="宋体" w:cs="宋体"/>
                <w:color w:val="000000"/>
                <w:kern w:val="0"/>
                <w:sz w:val="20"/>
              </w:rPr>
              <w:t>每一年第四季度由专业机构和行业专家对该年度电梯维保和修理服务进行等级评定，并纳入第四度的考核。优秀为9</w:t>
            </w:r>
            <w:r>
              <w:rPr>
                <w:rFonts w:ascii="宋体" w:hAnsi="宋体" w:cs="宋体"/>
                <w:color w:val="000000"/>
                <w:kern w:val="0"/>
                <w:sz w:val="20"/>
              </w:rPr>
              <w:t>0</w:t>
            </w:r>
            <w:r>
              <w:rPr>
                <w:rFonts w:hint="eastAsia" w:ascii="宋体" w:hAnsi="宋体" w:cs="宋体"/>
                <w:color w:val="000000"/>
                <w:kern w:val="0"/>
                <w:sz w:val="20"/>
              </w:rPr>
              <w:t>-</w:t>
            </w:r>
            <w:r>
              <w:rPr>
                <w:rFonts w:ascii="宋体" w:hAnsi="宋体" w:cs="宋体"/>
                <w:color w:val="000000"/>
                <w:kern w:val="0"/>
                <w:sz w:val="20"/>
              </w:rPr>
              <w:t>100</w:t>
            </w:r>
            <w:r>
              <w:rPr>
                <w:rFonts w:hint="eastAsia" w:ascii="宋体" w:hAnsi="宋体" w:cs="宋体"/>
                <w:color w:val="000000"/>
                <w:kern w:val="0"/>
                <w:sz w:val="20"/>
              </w:rPr>
              <w:t>分，良好为8</w:t>
            </w:r>
            <w:r>
              <w:rPr>
                <w:rFonts w:ascii="宋体" w:hAnsi="宋体" w:cs="宋体"/>
                <w:color w:val="000000"/>
                <w:kern w:val="0"/>
                <w:sz w:val="20"/>
              </w:rPr>
              <w:t>0</w:t>
            </w:r>
            <w:r>
              <w:rPr>
                <w:rFonts w:hint="eastAsia" w:ascii="宋体" w:hAnsi="宋体" w:cs="宋体"/>
                <w:color w:val="000000"/>
                <w:kern w:val="0"/>
                <w:sz w:val="20"/>
              </w:rPr>
              <w:t>-</w:t>
            </w:r>
            <w:r>
              <w:rPr>
                <w:rFonts w:ascii="宋体" w:hAnsi="宋体" w:cs="宋体"/>
                <w:color w:val="000000"/>
                <w:kern w:val="0"/>
                <w:sz w:val="20"/>
              </w:rPr>
              <w:t>89</w:t>
            </w:r>
            <w:r>
              <w:rPr>
                <w:rFonts w:hint="eastAsia" w:ascii="宋体" w:hAnsi="宋体" w:cs="宋体"/>
                <w:color w:val="000000"/>
                <w:kern w:val="0"/>
                <w:sz w:val="20"/>
              </w:rPr>
              <w:t>分，合格为6</w:t>
            </w:r>
            <w:r>
              <w:rPr>
                <w:rFonts w:ascii="宋体" w:hAnsi="宋体" w:cs="宋体"/>
                <w:color w:val="000000"/>
                <w:kern w:val="0"/>
                <w:sz w:val="20"/>
              </w:rPr>
              <w:t>0-79</w:t>
            </w:r>
            <w:r>
              <w:rPr>
                <w:rFonts w:hint="eastAsia" w:ascii="宋体" w:hAnsi="宋体" w:cs="宋体"/>
                <w:color w:val="000000"/>
                <w:kern w:val="0"/>
                <w:sz w:val="20"/>
              </w:rPr>
              <w:t>分,不合格为</w:t>
            </w:r>
            <w:r>
              <w:rPr>
                <w:rFonts w:ascii="宋体" w:hAnsi="宋体" w:cs="宋体"/>
                <w:color w:val="000000"/>
                <w:kern w:val="0"/>
                <w:sz w:val="20"/>
              </w:rPr>
              <w:t>60</w:t>
            </w:r>
            <w:r>
              <w:rPr>
                <w:rFonts w:hint="eastAsia" w:ascii="宋体" w:hAnsi="宋体" w:cs="宋体"/>
                <w:color w:val="000000"/>
                <w:kern w:val="0"/>
                <w:sz w:val="20"/>
              </w:rPr>
              <w:t>分以下。</w:t>
            </w:r>
          </w:p>
        </w:tc>
        <w:tc>
          <w:tcPr>
            <w:tcW w:w="1425" w:type="pct"/>
            <w:gridSpan w:val="2"/>
            <w:tcBorders>
              <w:top w:val="nil"/>
              <w:left w:val="nil"/>
              <w:bottom w:val="single" w:color="auto" w:sz="4" w:space="0"/>
              <w:right w:val="single" w:color="auto" w:sz="4" w:space="0"/>
            </w:tcBorders>
            <w:vAlign w:val="center"/>
          </w:tcPr>
          <w:p w14:paraId="419BAFE5">
            <w:pPr>
              <w:widowControl/>
              <w:jc w:val="center"/>
              <w:rPr>
                <w:rFonts w:ascii="宋体" w:hAnsi="宋体" w:cs="宋体"/>
                <w:color w:val="000000"/>
                <w:kern w:val="0"/>
                <w:sz w:val="20"/>
              </w:rPr>
            </w:pPr>
            <w:r>
              <w:rPr>
                <w:rFonts w:hint="eastAsia" w:ascii="宋体" w:hAnsi="宋体" w:cs="宋体"/>
                <w:color w:val="000000"/>
                <w:kern w:val="0"/>
                <w:sz w:val="20"/>
              </w:rPr>
              <w:t>评定等级为优秀和良好的，不扣分；合格等次的扣5分；不合格的扣2</w:t>
            </w:r>
            <w:r>
              <w:rPr>
                <w:rFonts w:ascii="宋体" w:hAnsi="宋体" w:cs="宋体"/>
                <w:color w:val="000000"/>
                <w:kern w:val="0"/>
                <w:sz w:val="20"/>
              </w:rPr>
              <w:t>0</w:t>
            </w:r>
            <w:r>
              <w:rPr>
                <w:rFonts w:hint="eastAsia" w:ascii="宋体" w:hAnsi="宋体" w:cs="宋体"/>
                <w:color w:val="000000"/>
                <w:kern w:val="0"/>
                <w:sz w:val="20"/>
              </w:rPr>
              <w:t>分</w:t>
            </w:r>
          </w:p>
        </w:tc>
        <w:tc>
          <w:tcPr>
            <w:tcW w:w="513" w:type="pct"/>
            <w:tcBorders>
              <w:top w:val="nil"/>
              <w:left w:val="nil"/>
              <w:bottom w:val="single" w:color="auto" w:sz="4" w:space="0"/>
              <w:right w:val="single" w:color="auto" w:sz="4" w:space="0"/>
            </w:tcBorders>
            <w:noWrap/>
            <w:vAlign w:val="center"/>
          </w:tcPr>
          <w:p w14:paraId="519B16EE">
            <w:pPr>
              <w:widowControl/>
              <w:jc w:val="center"/>
              <w:rPr>
                <w:rFonts w:ascii="宋体" w:hAnsi="宋体" w:cs="宋体"/>
                <w:color w:val="000000"/>
                <w:kern w:val="0"/>
                <w:sz w:val="20"/>
              </w:rPr>
            </w:pPr>
          </w:p>
        </w:tc>
        <w:tc>
          <w:tcPr>
            <w:tcW w:w="601" w:type="pct"/>
            <w:tcBorders>
              <w:top w:val="nil"/>
              <w:left w:val="nil"/>
              <w:bottom w:val="single" w:color="auto" w:sz="4" w:space="0"/>
              <w:right w:val="single" w:color="auto" w:sz="4" w:space="0"/>
            </w:tcBorders>
            <w:noWrap/>
            <w:vAlign w:val="center"/>
          </w:tcPr>
          <w:p w14:paraId="6F25BFB1">
            <w:pPr>
              <w:widowControl/>
              <w:jc w:val="center"/>
              <w:rPr>
                <w:rFonts w:ascii="宋体" w:hAnsi="宋体" w:cs="宋体"/>
                <w:color w:val="000000"/>
                <w:kern w:val="0"/>
                <w:sz w:val="20"/>
              </w:rPr>
            </w:pPr>
          </w:p>
        </w:tc>
      </w:tr>
      <w:tr w14:paraId="03F8782B">
        <w:tblPrEx>
          <w:tblCellMar>
            <w:top w:w="0" w:type="dxa"/>
            <w:left w:w="108" w:type="dxa"/>
            <w:bottom w:w="0" w:type="dxa"/>
            <w:right w:w="108" w:type="dxa"/>
          </w:tblCellMar>
        </w:tblPrEx>
        <w:trPr>
          <w:trHeight w:val="405" w:hRule="atLeast"/>
          <w:jc w:val="center"/>
        </w:trPr>
        <w:tc>
          <w:tcPr>
            <w:tcW w:w="792" w:type="pct"/>
            <w:tcBorders>
              <w:top w:val="nil"/>
              <w:left w:val="single" w:color="auto" w:sz="4" w:space="0"/>
              <w:bottom w:val="single" w:color="auto" w:sz="4" w:space="0"/>
              <w:right w:val="nil"/>
            </w:tcBorders>
            <w:noWrap/>
            <w:vAlign w:val="center"/>
          </w:tcPr>
          <w:p w14:paraId="34604CC1">
            <w:pPr>
              <w:widowControl/>
              <w:jc w:val="center"/>
              <w:rPr>
                <w:rFonts w:ascii="宋体" w:hAnsi="宋体" w:cs="宋体"/>
                <w:color w:val="000000"/>
                <w:kern w:val="0"/>
                <w:sz w:val="20"/>
              </w:rPr>
            </w:pPr>
            <w:r>
              <w:rPr>
                <w:rFonts w:hint="eastAsia" w:ascii="宋体" w:hAnsi="宋体" w:cs="宋体"/>
                <w:color w:val="000000"/>
                <w:kern w:val="0"/>
                <w:sz w:val="20"/>
              </w:rPr>
              <w:t>物联网安装</w:t>
            </w:r>
          </w:p>
        </w:tc>
        <w:tc>
          <w:tcPr>
            <w:tcW w:w="1669" w:type="pct"/>
            <w:tcBorders>
              <w:top w:val="nil"/>
              <w:left w:val="single" w:color="auto" w:sz="4" w:space="0"/>
              <w:bottom w:val="single" w:color="auto" w:sz="4" w:space="0"/>
              <w:right w:val="single" w:color="auto" w:sz="4" w:space="0"/>
            </w:tcBorders>
            <w:noWrap/>
            <w:vAlign w:val="center"/>
          </w:tcPr>
          <w:p w14:paraId="05F93CBE">
            <w:pPr>
              <w:widowControl/>
              <w:jc w:val="center"/>
              <w:rPr>
                <w:rFonts w:ascii="宋体" w:hAnsi="宋体" w:cs="宋体"/>
                <w:color w:val="000000"/>
                <w:kern w:val="0"/>
                <w:sz w:val="20"/>
              </w:rPr>
            </w:pPr>
            <w:r>
              <w:rPr>
                <w:rFonts w:hint="eastAsia" w:ascii="宋体" w:hAnsi="宋体" w:cs="宋体"/>
                <w:color w:val="000000"/>
                <w:kern w:val="0"/>
                <w:sz w:val="20"/>
              </w:rPr>
              <w:t>中选单位进驻小区管理后，6个月内未完成智能化系统（物联网）安装要求的</w:t>
            </w:r>
          </w:p>
        </w:tc>
        <w:tc>
          <w:tcPr>
            <w:tcW w:w="1425" w:type="pct"/>
            <w:gridSpan w:val="2"/>
            <w:vMerge w:val="restart"/>
            <w:tcBorders>
              <w:top w:val="nil"/>
              <w:left w:val="nil"/>
              <w:right w:val="single" w:color="auto" w:sz="4" w:space="0"/>
            </w:tcBorders>
            <w:vAlign w:val="center"/>
          </w:tcPr>
          <w:p w14:paraId="656CD87E">
            <w:pPr>
              <w:jc w:val="center"/>
              <w:rPr>
                <w:rFonts w:ascii="宋体" w:hAnsi="宋体" w:cs="宋体"/>
                <w:color w:val="000000"/>
                <w:kern w:val="0"/>
                <w:sz w:val="20"/>
              </w:rPr>
            </w:pPr>
            <w:r>
              <w:rPr>
                <w:rFonts w:hint="eastAsia" w:ascii="宋体" w:hAnsi="宋体" w:cs="宋体"/>
                <w:color w:val="000000"/>
                <w:kern w:val="0"/>
                <w:sz w:val="20"/>
              </w:rPr>
              <w:t>未达要求扣取履约保证金及考核期内日常保养与维修费并解除合同</w:t>
            </w:r>
          </w:p>
        </w:tc>
        <w:tc>
          <w:tcPr>
            <w:tcW w:w="513" w:type="pct"/>
            <w:tcBorders>
              <w:top w:val="nil"/>
              <w:left w:val="nil"/>
              <w:bottom w:val="single" w:color="auto" w:sz="4" w:space="0"/>
              <w:right w:val="single" w:color="auto" w:sz="4" w:space="0"/>
            </w:tcBorders>
            <w:noWrap/>
            <w:vAlign w:val="center"/>
          </w:tcPr>
          <w:p w14:paraId="483BBB3A">
            <w:pPr>
              <w:widowControl/>
              <w:jc w:val="center"/>
              <w:rPr>
                <w:rFonts w:ascii="宋体" w:hAnsi="宋体" w:cs="宋体"/>
                <w:color w:val="000000"/>
                <w:kern w:val="0"/>
                <w:sz w:val="20"/>
              </w:rPr>
            </w:pPr>
          </w:p>
        </w:tc>
        <w:tc>
          <w:tcPr>
            <w:tcW w:w="601" w:type="pct"/>
            <w:vMerge w:val="restart"/>
            <w:tcBorders>
              <w:top w:val="nil"/>
              <w:left w:val="nil"/>
              <w:right w:val="single" w:color="auto" w:sz="4" w:space="0"/>
            </w:tcBorders>
            <w:noWrap/>
            <w:vAlign w:val="center"/>
          </w:tcPr>
          <w:p w14:paraId="26AA3ECB">
            <w:pPr>
              <w:widowControl/>
              <w:jc w:val="center"/>
              <w:rPr>
                <w:rFonts w:ascii="宋体" w:hAnsi="宋体" w:cs="宋体"/>
                <w:color w:val="000000"/>
                <w:kern w:val="0"/>
                <w:sz w:val="20"/>
              </w:rPr>
            </w:pPr>
            <w:r>
              <w:rPr>
                <w:rFonts w:hint="eastAsia" w:ascii="宋体" w:hAnsi="宋体" w:cs="宋体"/>
                <w:color w:val="000000"/>
                <w:kern w:val="0"/>
                <w:sz w:val="20"/>
              </w:rPr>
              <w:t>按合同约定扣取履约保证金　</w:t>
            </w:r>
          </w:p>
        </w:tc>
      </w:tr>
      <w:tr w14:paraId="359F704B">
        <w:tblPrEx>
          <w:tblCellMar>
            <w:top w:w="0" w:type="dxa"/>
            <w:left w:w="108" w:type="dxa"/>
            <w:bottom w:w="0" w:type="dxa"/>
            <w:right w:w="108" w:type="dxa"/>
          </w:tblCellMar>
        </w:tblPrEx>
        <w:trPr>
          <w:trHeight w:val="341" w:hRule="atLeast"/>
          <w:jc w:val="center"/>
        </w:trPr>
        <w:tc>
          <w:tcPr>
            <w:tcW w:w="792" w:type="pct"/>
            <w:tcBorders>
              <w:top w:val="nil"/>
              <w:left w:val="single" w:color="auto" w:sz="4" w:space="0"/>
              <w:bottom w:val="single" w:color="auto" w:sz="4" w:space="0"/>
              <w:right w:val="nil"/>
            </w:tcBorders>
            <w:noWrap/>
            <w:vAlign w:val="center"/>
          </w:tcPr>
          <w:p w14:paraId="20BBB543">
            <w:pPr>
              <w:widowControl/>
              <w:jc w:val="center"/>
              <w:rPr>
                <w:rFonts w:ascii="宋体" w:hAnsi="宋体" w:cs="宋体"/>
                <w:color w:val="000000"/>
                <w:kern w:val="0"/>
                <w:sz w:val="20"/>
              </w:rPr>
            </w:pPr>
            <w:r>
              <w:rPr>
                <w:rFonts w:hint="eastAsia" w:ascii="宋体" w:hAnsi="宋体" w:cs="宋体"/>
                <w:color w:val="000000"/>
                <w:kern w:val="0"/>
                <w:sz w:val="20"/>
              </w:rPr>
              <w:t>安全责任事故</w:t>
            </w:r>
          </w:p>
        </w:tc>
        <w:tc>
          <w:tcPr>
            <w:tcW w:w="1669" w:type="pct"/>
            <w:tcBorders>
              <w:top w:val="nil"/>
              <w:left w:val="single" w:color="auto" w:sz="4" w:space="0"/>
              <w:bottom w:val="single" w:color="auto" w:sz="4" w:space="0"/>
              <w:right w:val="single" w:color="auto" w:sz="4" w:space="0"/>
            </w:tcBorders>
            <w:noWrap/>
            <w:vAlign w:val="center"/>
          </w:tcPr>
          <w:p w14:paraId="2206C2CB">
            <w:pPr>
              <w:widowControl/>
              <w:jc w:val="center"/>
              <w:rPr>
                <w:rFonts w:ascii="宋体" w:hAnsi="宋体" w:cs="宋体"/>
                <w:color w:val="000000"/>
                <w:kern w:val="0"/>
                <w:sz w:val="20"/>
              </w:rPr>
            </w:pPr>
            <w:r>
              <w:rPr>
                <w:rFonts w:hint="eastAsia" w:ascii="宋体" w:hAnsi="宋体" w:cs="宋体"/>
                <w:color w:val="000000"/>
                <w:kern w:val="0"/>
                <w:sz w:val="20"/>
              </w:rPr>
              <w:t>不出现安全责任事故</w:t>
            </w:r>
          </w:p>
        </w:tc>
        <w:tc>
          <w:tcPr>
            <w:tcW w:w="1425" w:type="pct"/>
            <w:gridSpan w:val="2"/>
            <w:vMerge w:val="continue"/>
            <w:tcBorders>
              <w:left w:val="single" w:color="auto" w:sz="4" w:space="0"/>
              <w:right w:val="single" w:color="auto" w:sz="4" w:space="0"/>
            </w:tcBorders>
            <w:vAlign w:val="center"/>
          </w:tcPr>
          <w:p w14:paraId="0F42757E">
            <w:pPr>
              <w:widowControl/>
              <w:jc w:val="center"/>
              <w:rPr>
                <w:rFonts w:ascii="宋体" w:hAnsi="宋体" w:cs="宋体"/>
                <w:color w:val="000000"/>
                <w:kern w:val="0"/>
                <w:sz w:val="20"/>
              </w:rPr>
            </w:pPr>
          </w:p>
        </w:tc>
        <w:tc>
          <w:tcPr>
            <w:tcW w:w="513" w:type="pct"/>
            <w:tcBorders>
              <w:top w:val="nil"/>
              <w:left w:val="nil"/>
              <w:bottom w:val="single" w:color="auto" w:sz="4" w:space="0"/>
              <w:right w:val="single" w:color="auto" w:sz="4" w:space="0"/>
            </w:tcBorders>
            <w:noWrap/>
            <w:vAlign w:val="center"/>
          </w:tcPr>
          <w:p w14:paraId="2020F5BB">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vMerge w:val="continue"/>
            <w:tcBorders>
              <w:left w:val="nil"/>
              <w:right w:val="single" w:color="auto" w:sz="4" w:space="0"/>
            </w:tcBorders>
            <w:noWrap/>
            <w:vAlign w:val="center"/>
          </w:tcPr>
          <w:p w14:paraId="5960B45C">
            <w:pPr>
              <w:jc w:val="center"/>
              <w:rPr>
                <w:rFonts w:ascii="宋体" w:hAnsi="宋体" w:cs="宋体"/>
                <w:color w:val="000000"/>
                <w:kern w:val="0"/>
                <w:sz w:val="20"/>
              </w:rPr>
            </w:pPr>
          </w:p>
        </w:tc>
      </w:tr>
      <w:tr w14:paraId="43306386">
        <w:tblPrEx>
          <w:tblCellMar>
            <w:top w:w="0" w:type="dxa"/>
            <w:left w:w="108" w:type="dxa"/>
            <w:bottom w:w="0" w:type="dxa"/>
            <w:right w:w="108" w:type="dxa"/>
          </w:tblCellMar>
        </w:tblPrEx>
        <w:trPr>
          <w:trHeight w:val="276" w:hRule="atLeast"/>
          <w:jc w:val="center"/>
        </w:trPr>
        <w:tc>
          <w:tcPr>
            <w:tcW w:w="792" w:type="pct"/>
            <w:tcBorders>
              <w:top w:val="nil"/>
              <w:left w:val="single" w:color="auto" w:sz="4" w:space="0"/>
              <w:bottom w:val="single" w:color="auto" w:sz="4" w:space="0"/>
              <w:right w:val="nil"/>
            </w:tcBorders>
            <w:noWrap/>
            <w:vAlign w:val="center"/>
          </w:tcPr>
          <w:p w14:paraId="67261885">
            <w:pPr>
              <w:widowControl/>
              <w:jc w:val="center"/>
              <w:rPr>
                <w:rFonts w:ascii="宋体" w:hAnsi="宋体" w:cs="宋体"/>
                <w:color w:val="000000"/>
                <w:kern w:val="0"/>
                <w:sz w:val="20"/>
              </w:rPr>
            </w:pPr>
            <w:r>
              <w:rPr>
                <w:rFonts w:hint="eastAsia" w:ascii="宋体" w:hAnsi="宋体" w:cs="宋体"/>
                <w:color w:val="000000"/>
                <w:kern w:val="0"/>
                <w:sz w:val="20"/>
              </w:rPr>
              <w:t>公众责任险</w:t>
            </w:r>
          </w:p>
        </w:tc>
        <w:tc>
          <w:tcPr>
            <w:tcW w:w="1669" w:type="pct"/>
            <w:tcBorders>
              <w:top w:val="nil"/>
              <w:left w:val="single" w:color="auto" w:sz="4" w:space="0"/>
              <w:bottom w:val="single" w:color="auto" w:sz="4" w:space="0"/>
              <w:right w:val="single" w:color="auto" w:sz="4" w:space="0"/>
            </w:tcBorders>
            <w:noWrap/>
            <w:vAlign w:val="center"/>
          </w:tcPr>
          <w:p w14:paraId="511E0A41">
            <w:pPr>
              <w:widowControl/>
              <w:jc w:val="center"/>
              <w:rPr>
                <w:rFonts w:ascii="宋体" w:hAnsi="宋体" w:cs="宋体"/>
                <w:color w:val="000000"/>
                <w:kern w:val="0"/>
                <w:sz w:val="20"/>
              </w:rPr>
            </w:pPr>
            <w:r>
              <w:rPr>
                <w:rFonts w:hint="eastAsia" w:ascii="宋体" w:hAnsi="宋体" w:cs="宋体"/>
                <w:color w:val="000000"/>
                <w:kern w:val="0"/>
                <w:sz w:val="20"/>
              </w:rPr>
              <w:t>按合同要求购买</w:t>
            </w:r>
          </w:p>
        </w:tc>
        <w:tc>
          <w:tcPr>
            <w:tcW w:w="1425" w:type="pct"/>
            <w:gridSpan w:val="2"/>
            <w:vMerge w:val="continue"/>
            <w:tcBorders>
              <w:left w:val="single" w:color="auto" w:sz="4" w:space="0"/>
              <w:right w:val="single" w:color="auto" w:sz="4" w:space="0"/>
            </w:tcBorders>
            <w:vAlign w:val="center"/>
          </w:tcPr>
          <w:p w14:paraId="6D2BDF7A">
            <w:pPr>
              <w:widowControl/>
              <w:jc w:val="left"/>
              <w:rPr>
                <w:rFonts w:ascii="宋体" w:hAnsi="宋体" w:cs="宋体"/>
                <w:color w:val="000000"/>
                <w:kern w:val="0"/>
                <w:sz w:val="20"/>
              </w:rPr>
            </w:pPr>
          </w:p>
        </w:tc>
        <w:tc>
          <w:tcPr>
            <w:tcW w:w="513" w:type="pct"/>
            <w:tcBorders>
              <w:top w:val="nil"/>
              <w:left w:val="nil"/>
              <w:bottom w:val="single" w:color="auto" w:sz="4" w:space="0"/>
              <w:right w:val="single" w:color="auto" w:sz="4" w:space="0"/>
            </w:tcBorders>
            <w:noWrap/>
            <w:vAlign w:val="center"/>
          </w:tcPr>
          <w:p w14:paraId="1D979623">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vMerge w:val="continue"/>
            <w:tcBorders>
              <w:left w:val="nil"/>
              <w:right w:val="single" w:color="auto" w:sz="4" w:space="0"/>
            </w:tcBorders>
            <w:noWrap/>
            <w:vAlign w:val="center"/>
          </w:tcPr>
          <w:p w14:paraId="6E59D702">
            <w:pPr>
              <w:jc w:val="center"/>
              <w:rPr>
                <w:rFonts w:ascii="宋体" w:hAnsi="宋体" w:cs="宋体"/>
                <w:color w:val="000000"/>
                <w:kern w:val="0"/>
                <w:sz w:val="20"/>
              </w:rPr>
            </w:pPr>
          </w:p>
        </w:tc>
      </w:tr>
      <w:tr w14:paraId="5FBA8FDC">
        <w:tblPrEx>
          <w:tblCellMar>
            <w:top w:w="0" w:type="dxa"/>
            <w:left w:w="108" w:type="dxa"/>
            <w:bottom w:w="0" w:type="dxa"/>
            <w:right w:w="108" w:type="dxa"/>
          </w:tblCellMar>
        </w:tblPrEx>
        <w:trPr>
          <w:trHeight w:val="540" w:hRule="atLeast"/>
          <w:jc w:val="center"/>
        </w:trPr>
        <w:tc>
          <w:tcPr>
            <w:tcW w:w="792" w:type="pct"/>
            <w:tcBorders>
              <w:top w:val="nil"/>
              <w:left w:val="single" w:color="auto" w:sz="4" w:space="0"/>
              <w:bottom w:val="single" w:color="auto" w:sz="4" w:space="0"/>
              <w:right w:val="single" w:color="auto" w:sz="4" w:space="0"/>
            </w:tcBorders>
            <w:noWrap/>
            <w:vAlign w:val="center"/>
          </w:tcPr>
          <w:p w14:paraId="32EC6FC0">
            <w:pPr>
              <w:widowControl/>
              <w:jc w:val="center"/>
              <w:rPr>
                <w:rFonts w:ascii="宋体" w:hAnsi="宋体" w:cs="宋体"/>
                <w:color w:val="000000"/>
                <w:kern w:val="0"/>
                <w:sz w:val="20"/>
              </w:rPr>
            </w:pPr>
            <w:r>
              <w:rPr>
                <w:rFonts w:hint="eastAsia" w:ascii="宋体" w:hAnsi="宋体" w:cs="宋体"/>
                <w:color w:val="000000"/>
                <w:kern w:val="0"/>
                <w:sz w:val="20"/>
              </w:rPr>
              <w:t>到期移交</w:t>
            </w:r>
          </w:p>
        </w:tc>
        <w:tc>
          <w:tcPr>
            <w:tcW w:w="1669" w:type="pct"/>
            <w:tcBorders>
              <w:top w:val="nil"/>
              <w:left w:val="nil"/>
              <w:bottom w:val="single" w:color="auto" w:sz="4" w:space="0"/>
              <w:right w:val="single" w:color="auto" w:sz="4" w:space="0"/>
            </w:tcBorders>
            <w:vAlign w:val="center"/>
          </w:tcPr>
          <w:p w14:paraId="725AC8BE">
            <w:pPr>
              <w:widowControl/>
              <w:jc w:val="center"/>
              <w:rPr>
                <w:rFonts w:ascii="宋体" w:hAnsi="宋体" w:cs="宋体"/>
                <w:color w:val="000000"/>
                <w:kern w:val="0"/>
                <w:sz w:val="20"/>
              </w:rPr>
            </w:pPr>
            <w:r>
              <w:rPr>
                <w:rFonts w:hint="eastAsia" w:ascii="宋体" w:hAnsi="宋体" w:cs="宋体"/>
                <w:color w:val="000000"/>
                <w:kern w:val="0"/>
                <w:sz w:val="20"/>
              </w:rPr>
              <w:t>合同到期电梯移交</w:t>
            </w:r>
          </w:p>
          <w:p w14:paraId="75DD4105">
            <w:pPr>
              <w:widowControl/>
              <w:jc w:val="center"/>
              <w:rPr>
                <w:rFonts w:ascii="宋体" w:hAnsi="宋体" w:cs="宋体"/>
                <w:color w:val="000000"/>
                <w:kern w:val="0"/>
                <w:sz w:val="20"/>
              </w:rPr>
            </w:pPr>
            <w:r>
              <w:rPr>
                <w:rFonts w:hint="eastAsia" w:ascii="宋体" w:hAnsi="宋体" w:cs="宋体"/>
                <w:color w:val="000000"/>
                <w:kern w:val="0"/>
                <w:sz w:val="20"/>
              </w:rPr>
              <w:t>(此项仅用于末次考核)</w:t>
            </w:r>
          </w:p>
        </w:tc>
        <w:tc>
          <w:tcPr>
            <w:tcW w:w="1425" w:type="pct"/>
            <w:gridSpan w:val="2"/>
            <w:vMerge w:val="continue"/>
            <w:tcBorders>
              <w:left w:val="single" w:color="auto" w:sz="4" w:space="0"/>
              <w:bottom w:val="single" w:color="000000" w:sz="4" w:space="0"/>
              <w:right w:val="single" w:color="auto" w:sz="4" w:space="0"/>
            </w:tcBorders>
            <w:vAlign w:val="center"/>
          </w:tcPr>
          <w:p w14:paraId="5DEF30B4">
            <w:pPr>
              <w:widowControl/>
              <w:jc w:val="left"/>
              <w:rPr>
                <w:rFonts w:ascii="宋体" w:hAnsi="宋体" w:cs="宋体"/>
                <w:color w:val="000000"/>
                <w:kern w:val="0"/>
                <w:sz w:val="20"/>
              </w:rPr>
            </w:pPr>
          </w:p>
        </w:tc>
        <w:tc>
          <w:tcPr>
            <w:tcW w:w="513" w:type="pct"/>
            <w:tcBorders>
              <w:top w:val="nil"/>
              <w:left w:val="nil"/>
              <w:bottom w:val="single" w:color="auto" w:sz="4" w:space="0"/>
              <w:right w:val="single" w:color="auto" w:sz="4" w:space="0"/>
            </w:tcBorders>
            <w:noWrap/>
            <w:vAlign w:val="center"/>
          </w:tcPr>
          <w:p w14:paraId="1372E174">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601" w:type="pct"/>
            <w:vMerge w:val="continue"/>
            <w:tcBorders>
              <w:left w:val="nil"/>
              <w:bottom w:val="single" w:color="auto" w:sz="4" w:space="0"/>
              <w:right w:val="single" w:color="auto" w:sz="4" w:space="0"/>
            </w:tcBorders>
            <w:noWrap/>
            <w:vAlign w:val="center"/>
          </w:tcPr>
          <w:p w14:paraId="6F89B834">
            <w:pPr>
              <w:widowControl/>
              <w:jc w:val="center"/>
              <w:rPr>
                <w:rFonts w:ascii="宋体" w:hAnsi="宋体" w:cs="宋体"/>
                <w:color w:val="000000"/>
                <w:kern w:val="0"/>
                <w:sz w:val="20"/>
              </w:rPr>
            </w:pPr>
          </w:p>
        </w:tc>
      </w:tr>
      <w:tr w14:paraId="4C1741DA">
        <w:tblPrEx>
          <w:tblCellMar>
            <w:top w:w="0" w:type="dxa"/>
            <w:left w:w="108" w:type="dxa"/>
            <w:bottom w:w="0" w:type="dxa"/>
            <w:right w:w="108" w:type="dxa"/>
          </w:tblCellMar>
        </w:tblPrEx>
        <w:trPr>
          <w:trHeight w:val="469" w:hRule="atLeast"/>
          <w:jc w:val="center"/>
        </w:trPr>
        <w:tc>
          <w:tcPr>
            <w:tcW w:w="3886" w:type="pct"/>
            <w:gridSpan w:val="4"/>
            <w:tcBorders>
              <w:top w:val="single" w:color="auto" w:sz="4" w:space="0"/>
              <w:left w:val="single" w:color="auto" w:sz="4" w:space="0"/>
              <w:bottom w:val="single" w:color="auto" w:sz="4" w:space="0"/>
              <w:right w:val="single" w:color="000000" w:sz="4" w:space="0"/>
            </w:tcBorders>
            <w:noWrap/>
            <w:vAlign w:val="center"/>
          </w:tcPr>
          <w:p w14:paraId="15670564">
            <w:pPr>
              <w:widowControl/>
              <w:jc w:val="center"/>
              <w:rPr>
                <w:rFonts w:ascii="宋体" w:hAnsi="宋体" w:cs="宋体"/>
                <w:color w:val="000000"/>
                <w:kern w:val="0"/>
                <w:sz w:val="20"/>
              </w:rPr>
            </w:pPr>
            <w:r>
              <w:rPr>
                <w:rFonts w:hint="eastAsia" w:ascii="宋体" w:hAnsi="宋体" w:cs="宋体"/>
                <w:color w:val="000000"/>
                <w:kern w:val="0"/>
                <w:sz w:val="20"/>
              </w:rPr>
              <w:t>考核扣分项需立即整改，拒不整改将按照考核办法加重处罚</w:t>
            </w:r>
          </w:p>
        </w:tc>
        <w:tc>
          <w:tcPr>
            <w:tcW w:w="513" w:type="pct"/>
            <w:tcBorders>
              <w:top w:val="nil"/>
              <w:left w:val="nil"/>
              <w:bottom w:val="single" w:color="auto" w:sz="4" w:space="0"/>
              <w:right w:val="single" w:color="auto" w:sz="4" w:space="0"/>
            </w:tcBorders>
            <w:noWrap/>
            <w:vAlign w:val="center"/>
          </w:tcPr>
          <w:p w14:paraId="7A06328D">
            <w:pPr>
              <w:widowControl/>
              <w:jc w:val="right"/>
              <w:rPr>
                <w:rFonts w:ascii="宋体" w:hAnsi="宋体" w:cs="宋体"/>
                <w:color w:val="000000"/>
                <w:kern w:val="0"/>
                <w:sz w:val="20"/>
              </w:rPr>
            </w:pPr>
            <w:r>
              <w:rPr>
                <w:rFonts w:hint="eastAsia" w:ascii="宋体" w:hAnsi="宋体" w:cs="宋体"/>
                <w:color w:val="000000"/>
                <w:kern w:val="0"/>
                <w:sz w:val="20"/>
              </w:rPr>
              <w:t>评分扣减合计：</w:t>
            </w:r>
          </w:p>
        </w:tc>
        <w:tc>
          <w:tcPr>
            <w:tcW w:w="601" w:type="pct"/>
            <w:tcBorders>
              <w:top w:val="nil"/>
              <w:left w:val="nil"/>
              <w:bottom w:val="single" w:color="auto" w:sz="4" w:space="0"/>
              <w:right w:val="single" w:color="auto" w:sz="4" w:space="0"/>
            </w:tcBorders>
            <w:noWrap/>
            <w:vAlign w:val="bottom"/>
          </w:tcPr>
          <w:p w14:paraId="7290A339">
            <w:pPr>
              <w:widowControl/>
              <w:jc w:val="left"/>
              <w:rPr>
                <w:rFonts w:ascii="宋体" w:hAnsi="宋体" w:cs="宋体"/>
                <w:color w:val="000000"/>
                <w:kern w:val="0"/>
                <w:sz w:val="20"/>
              </w:rPr>
            </w:pPr>
            <w:r>
              <w:rPr>
                <w:rFonts w:hint="eastAsia" w:ascii="宋体" w:hAnsi="宋体" w:cs="宋体"/>
                <w:color w:val="000000"/>
                <w:kern w:val="0"/>
                <w:sz w:val="20"/>
              </w:rPr>
              <w:t>　</w:t>
            </w:r>
          </w:p>
        </w:tc>
      </w:tr>
      <w:tr w14:paraId="04C15AA1">
        <w:tblPrEx>
          <w:tblCellMar>
            <w:top w:w="0" w:type="dxa"/>
            <w:left w:w="108" w:type="dxa"/>
            <w:bottom w:w="0" w:type="dxa"/>
            <w:right w:w="108" w:type="dxa"/>
          </w:tblCellMar>
        </w:tblPrEx>
        <w:trPr>
          <w:trHeight w:val="420" w:hRule="atLeast"/>
          <w:jc w:val="center"/>
        </w:trPr>
        <w:tc>
          <w:tcPr>
            <w:tcW w:w="5000" w:type="pct"/>
            <w:gridSpan w:val="6"/>
            <w:tcBorders>
              <w:top w:val="single" w:color="auto" w:sz="4" w:space="0"/>
              <w:left w:val="single" w:color="auto" w:sz="4" w:space="0"/>
              <w:bottom w:val="single" w:color="auto" w:sz="4" w:space="0"/>
              <w:right w:val="single" w:color="000000" w:sz="4" w:space="0"/>
            </w:tcBorders>
            <w:noWrap/>
            <w:vAlign w:val="center"/>
          </w:tcPr>
          <w:p w14:paraId="1F8047AF">
            <w:pPr>
              <w:widowControl/>
              <w:jc w:val="left"/>
              <w:rPr>
                <w:rFonts w:ascii="宋体" w:hAnsi="宋体" w:cs="宋体"/>
                <w:color w:val="000000"/>
                <w:kern w:val="0"/>
                <w:sz w:val="20"/>
              </w:rPr>
            </w:pPr>
            <w:r>
              <w:rPr>
                <w:rFonts w:hint="eastAsia" w:ascii="宋体" w:hAnsi="宋体" w:cs="宋体"/>
                <w:color w:val="000000"/>
                <w:kern w:val="0"/>
                <w:sz w:val="20"/>
              </w:rPr>
              <w:t>参与考核人签字：</w:t>
            </w:r>
          </w:p>
        </w:tc>
      </w:tr>
      <w:tr w14:paraId="41C9C15A">
        <w:tblPrEx>
          <w:tblCellMar>
            <w:top w:w="0" w:type="dxa"/>
            <w:left w:w="108" w:type="dxa"/>
            <w:bottom w:w="0" w:type="dxa"/>
            <w:right w:w="108" w:type="dxa"/>
          </w:tblCellMar>
        </w:tblPrEx>
        <w:trPr>
          <w:trHeight w:val="570" w:hRule="atLeast"/>
          <w:jc w:val="center"/>
        </w:trPr>
        <w:tc>
          <w:tcPr>
            <w:tcW w:w="792" w:type="pct"/>
            <w:tcBorders>
              <w:top w:val="nil"/>
              <w:left w:val="nil"/>
              <w:bottom w:val="nil"/>
              <w:right w:val="nil"/>
            </w:tcBorders>
            <w:noWrap/>
            <w:vAlign w:val="center"/>
          </w:tcPr>
          <w:p w14:paraId="0A7399B2">
            <w:pPr>
              <w:widowControl/>
              <w:jc w:val="left"/>
              <w:rPr>
                <w:rFonts w:ascii="宋体" w:hAnsi="宋体" w:cs="宋体"/>
                <w:color w:val="000000"/>
                <w:kern w:val="0"/>
                <w:sz w:val="20"/>
              </w:rPr>
            </w:pPr>
            <w:r>
              <w:rPr>
                <w:rFonts w:hint="eastAsia" w:ascii="宋体" w:hAnsi="宋体" w:cs="宋体"/>
                <w:color w:val="000000"/>
                <w:kern w:val="0"/>
                <w:sz w:val="20"/>
              </w:rPr>
              <w:t>物管公司签章：</w:t>
            </w:r>
          </w:p>
        </w:tc>
        <w:tc>
          <w:tcPr>
            <w:tcW w:w="1669" w:type="pct"/>
            <w:tcBorders>
              <w:top w:val="nil"/>
              <w:left w:val="nil"/>
              <w:bottom w:val="nil"/>
              <w:right w:val="nil"/>
            </w:tcBorders>
            <w:noWrap/>
            <w:vAlign w:val="bottom"/>
          </w:tcPr>
          <w:p w14:paraId="71A4F65B">
            <w:pPr>
              <w:widowControl/>
              <w:jc w:val="left"/>
              <w:rPr>
                <w:rFonts w:ascii="宋体" w:hAnsi="宋体" w:cs="宋体"/>
                <w:color w:val="000000"/>
                <w:kern w:val="0"/>
                <w:sz w:val="20"/>
              </w:rPr>
            </w:pPr>
          </w:p>
        </w:tc>
        <w:tc>
          <w:tcPr>
            <w:tcW w:w="1129" w:type="pct"/>
            <w:tcBorders>
              <w:top w:val="nil"/>
              <w:left w:val="nil"/>
              <w:bottom w:val="nil"/>
              <w:right w:val="nil"/>
            </w:tcBorders>
            <w:noWrap/>
            <w:vAlign w:val="bottom"/>
          </w:tcPr>
          <w:p w14:paraId="347BC87E">
            <w:pPr>
              <w:widowControl/>
              <w:jc w:val="left"/>
              <w:rPr>
                <w:rFonts w:eastAsia="Times New Roman"/>
                <w:color w:val="000000"/>
                <w:kern w:val="0"/>
                <w:sz w:val="20"/>
              </w:rPr>
            </w:pPr>
          </w:p>
        </w:tc>
        <w:tc>
          <w:tcPr>
            <w:tcW w:w="809" w:type="pct"/>
            <w:gridSpan w:val="2"/>
            <w:tcBorders>
              <w:top w:val="nil"/>
              <w:left w:val="nil"/>
              <w:bottom w:val="nil"/>
              <w:right w:val="nil"/>
            </w:tcBorders>
            <w:noWrap/>
            <w:vAlign w:val="center"/>
          </w:tcPr>
          <w:p w14:paraId="651E5C0D">
            <w:pPr>
              <w:widowControl/>
              <w:jc w:val="left"/>
              <w:rPr>
                <w:rFonts w:ascii="宋体" w:hAnsi="宋体" w:cs="宋体"/>
                <w:color w:val="000000"/>
                <w:kern w:val="0"/>
                <w:sz w:val="20"/>
              </w:rPr>
            </w:pPr>
            <w:r>
              <w:rPr>
                <w:rFonts w:hint="eastAsia" w:ascii="宋体" w:hAnsi="宋体" w:cs="宋体"/>
                <w:color w:val="000000"/>
                <w:kern w:val="0"/>
                <w:sz w:val="20"/>
              </w:rPr>
              <w:t>房管中心签章：</w:t>
            </w:r>
          </w:p>
        </w:tc>
        <w:tc>
          <w:tcPr>
            <w:tcW w:w="601" w:type="pct"/>
            <w:tcBorders>
              <w:top w:val="nil"/>
              <w:left w:val="nil"/>
              <w:bottom w:val="nil"/>
              <w:right w:val="nil"/>
            </w:tcBorders>
            <w:noWrap/>
            <w:vAlign w:val="bottom"/>
          </w:tcPr>
          <w:p w14:paraId="196A2442">
            <w:pPr>
              <w:widowControl/>
              <w:jc w:val="left"/>
              <w:rPr>
                <w:rFonts w:ascii="宋体" w:hAnsi="宋体" w:cs="宋体"/>
                <w:color w:val="000000"/>
                <w:kern w:val="0"/>
                <w:sz w:val="20"/>
              </w:rPr>
            </w:pPr>
          </w:p>
        </w:tc>
      </w:tr>
    </w:tbl>
    <w:p w14:paraId="2EBC304E">
      <w:pPr>
        <w:widowControl/>
        <w:jc w:val="left"/>
      </w:pPr>
    </w:p>
    <w:p w14:paraId="11FCF0E9">
      <w:pPr>
        <w:widowControl/>
        <w:jc w:val="left"/>
      </w:pPr>
      <w:r>
        <w:br w:type="page"/>
      </w:r>
    </w:p>
    <w:p w14:paraId="774BFF21">
      <w:pPr>
        <w:widowControl/>
        <w:jc w:val="left"/>
      </w:pPr>
    </w:p>
    <w:bookmarkEnd w:id="409"/>
    <w:bookmarkEnd w:id="410"/>
    <w:bookmarkEnd w:id="411"/>
    <w:bookmarkEnd w:id="412"/>
    <w:bookmarkEnd w:id="413"/>
    <w:bookmarkEnd w:id="414"/>
    <w:bookmarkEnd w:id="415"/>
    <w:bookmarkEnd w:id="416"/>
    <w:bookmarkEnd w:id="417"/>
    <w:p w14:paraId="671840CE">
      <w:pPr>
        <w:pStyle w:val="2"/>
        <w:widowControl/>
        <w:numPr>
          <w:ilvl w:val="0"/>
          <w:numId w:val="0"/>
        </w:numPr>
        <w:adjustRightInd/>
        <w:snapToGrid/>
        <w:rPr>
          <w:rFonts w:asciiTheme="majorEastAsia" w:hAnsiTheme="majorEastAsia" w:eastAsiaTheme="majorEastAsia" w:cstheme="majorEastAsia"/>
          <w:b/>
          <w:kern w:val="0"/>
        </w:rPr>
      </w:pPr>
      <w:bookmarkStart w:id="595" w:name="_Toc505088410"/>
      <w:bookmarkStart w:id="596" w:name="_Toc202469369"/>
      <w:bookmarkStart w:id="597" w:name="_Toc420448608"/>
      <w:bookmarkStart w:id="598" w:name="_Toc310932781"/>
      <w:bookmarkStart w:id="599" w:name="_Toc312326142"/>
      <w:bookmarkStart w:id="600" w:name="_Toc13570"/>
      <w:bookmarkStart w:id="601" w:name="_Toc312326017"/>
      <w:bookmarkStart w:id="602" w:name="_Toc312325930"/>
      <w:bookmarkStart w:id="603" w:name="_Toc312326634"/>
      <w:bookmarkStart w:id="604" w:name="_Toc312325929"/>
      <w:bookmarkStart w:id="605" w:name="_Toc312326143"/>
      <w:bookmarkStart w:id="606" w:name="_Toc312326016"/>
      <w:bookmarkStart w:id="607" w:name="_Toc475703884"/>
      <w:r>
        <w:rPr>
          <w:rFonts w:hint="eastAsia" w:asciiTheme="majorEastAsia" w:hAnsiTheme="majorEastAsia" w:eastAsiaTheme="majorEastAsia" w:cstheme="majorEastAsia"/>
          <w:b/>
          <w:kern w:val="0"/>
          <w:sz w:val="36"/>
          <w:szCs w:val="36"/>
        </w:rPr>
        <w:t>第五章 图</w:t>
      </w:r>
      <w:r>
        <w:rPr>
          <w:rFonts w:hint="eastAsia" w:asciiTheme="majorEastAsia" w:hAnsiTheme="majorEastAsia" w:eastAsiaTheme="majorEastAsia" w:cstheme="majorEastAsia"/>
          <w:b/>
          <w:kern w:val="0"/>
          <w:sz w:val="36"/>
          <w:szCs w:val="36"/>
        </w:rPr>
        <w:tab/>
      </w:r>
      <w:r>
        <w:rPr>
          <w:rFonts w:hint="eastAsia" w:asciiTheme="majorEastAsia" w:hAnsiTheme="majorEastAsia" w:eastAsiaTheme="majorEastAsia" w:cstheme="majorEastAsia"/>
          <w:b/>
          <w:kern w:val="0"/>
          <w:sz w:val="36"/>
          <w:szCs w:val="36"/>
        </w:rPr>
        <w:t>纸</w:t>
      </w:r>
      <w:bookmarkEnd w:id="595"/>
      <w:bookmarkEnd w:id="596"/>
      <w:bookmarkEnd w:id="597"/>
    </w:p>
    <w:p w14:paraId="025D4A79">
      <w:pPr>
        <w:spacing w:line="360" w:lineRule="auto"/>
        <w:jc w:val="center"/>
        <w:rPr>
          <w:rFonts w:asciiTheme="majorEastAsia" w:hAnsiTheme="majorEastAsia" w:eastAsiaTheme="majorEastAsia" w:cstheme="majorEastAsia"/>
          <w:kern w:val="0"/>
          <w:sz w:val="36"/>
          <w:szCs w:val="36"/>
        </w:rPr>
      </w:pPr>
      <w:r>
        <w:rPr>
          <w:rFonts w:hint="eastAsia" w:asciiTheme="majorEastAsia" w:hAnsiTheme="majorEastAsia" w:eastAsiaTheme="majorEastAsia" w:cstheme="majorEastAsia"/>
          <w:kern w:val="0"/>
          <w:sz w:val="36"/>
          <w:szCs w:val="36"/>
        </w:rPr>
        <w:t>无</w:t>
      </w:r>
    </w:p>
    <w:p w14:paraId="128775C7">
      <w:pPr>
        <w:widowControl/>
        <w:jc w:val="left"/>
        <w:rPr>
          <w:rFonts w:asciiTheme="majorEastAsia" w:hAnsiTheme="majorEastAsia" w:eastAsiaTheme="majorEastAsia" w:cstheme="majorEastAsia"/>
          <w:sz w:val="28"/>
        </w:rPr>
      </w:pPr>
      <w:r>
        <w:rPr>
          <w:rFonts w:hint="eastAsia" w:asciiTheme="majorEastAsia" w:hAnsiTheme="majorEastAsia" w:eastAsiaTheme="majorEastAsia" w:cstheme="majorEastAsia"/>
        </w:rPr>
        <w:br w:type="page"/>
      </w:r>
    </w:p>
    <w:p w14:paraId="424781AF">
      <w:pPr>
        <w:rPr>
          <w:rFonts w:asciiTheme="majorEastAsia" w:hAnsiTheme="majorEastAsia" w:eastAsiaTheme="majorEastAsia" w:cstheme="majorEastAsia"/>
        </w:rPr>
      </w:pPr>
    </w:p>
    <w:p w14:paraId="403B9836">
      <w:pPr>
        <w:pStyle w:val="2"/>
        <w:numPr>
          <w:ilvl w:val="0"/>
          <w:numId w:val="0"/>
        </w:numPr>
        <w:rPr>
          <w:rFonts w:asciiTheme="majorEastAsia" w:hAnsiTheme="majorEastAsia" w:eastAsiaTheme="majorEastAsia" w:cstheme="majorEastAsia"/>
          <w:b/>
          <w:kern w:val="0"/>
          <w:sz w:val="36"/>
          <w:szCs w:val="36"/>
        </w:rPr>
      </w:pPr>
      <w:bookmarkStart w:id="608" w:name="_Toc202469370"/>
      <w:r>
        <w:rPr>
          <w:rFonts w:hint="eastAsia" w:asciiTheme="majorEastAsia" w:hAnsiTheme="majorEastAsia" w:eastAsiaTheme="majorEastAsia" w:cstheme="majorEastAsia"/>
          <w:b/>
          <w:kern w:val="0"/>
          <w:sz w:val="36"/>
          <w:szCs w:val="36"/>
        </w:rPr>
        <w:t>第六章</w:t>
      </w:r>
      <w:r>
        <w:rPr>
          <w:rFonts w:asciiTheme="majorEastAsia" w:hAnsiTheme="majorEastAsia" w:eastAsiaTheme="majorEastAsia" w:cstheme="majorEastAsia"/>
          <w:b/>
          <w:kern w:val="0"/>
          <w:sz w:val="36"/>
          <w:szCs w:val="36"/>
        </w:rPr>
        <w:t xml:space="preserve"> </w:t>
      </w:r>
      <w:r>
        <w:rPr>
          <w:rFonts w:hint="eastAsia" w:asciiTheme="majorEastAsia" w:hAnsiTheme="majorEastAsia" w:eastAsiaTheme="majorEastAsia" w:cstheme="majorEastAsia"/>
          <w:b/>
          <w:kern w:val="0"/>
          <w:sz w:val="36"/>
          <w:szCs w:val="36"/>
        </w:rPr>
        <w:t>技术标准和要求</w:t>
      </w:r>
      <w:bookmarkEnd w:id="608"/>
    </w:p>
    <w:bookmarkEnd w:id="598"/>
    <w:bookmarkEnd w:id="599"/>
    <w:bookmarkEnd w:id="600"/>
    <w:bookmarkEnd w:id="601"/>
    <w:bookmarkEnd w:id="602"/>
    <w:bookmarkEnd w:id="603"/>
    <w:bookmarkEnd w:id="604"/>
    <w:bookmarkEnd w:id="605"/>
    <w:bookmarkEnd w:id="606"/>
    <w:bookmarkEnd w:id="607"/>
    <w:p w14:paraId="64A41231">
      <w:pPr>
        <w:spacing w:line="460" w:lineRule="exact"/>
        <w:ind w:firstLine="422" w:firstLineChars="200"/>
        <w:rPr>
          <w:rFonts w:ascii="宋体" w:hAnsi="宋体" w:cs="宋体"/>
          <w:b/>
          <w:bCs/>
          <w:color w:val="000000"/>
          <w:szCs w:val="28"/>
        </w:rPr>
      </w:pPr>
      <w:r>
        <w:rPr>
          <w:rFonts w:hint="eastAsia" w:ascii="宋体" w:hAnsi="宋体" w:cs="宋体"/>
          <w:b/>
          <w:bCs/>
          <w:color w:val="000000"/>
          <w:szCs w:val="28"/>
        </w:rPr>
        <w:t>一、</w:t>
      </w:r>
      <w:bookmarkStart w:id="609" w:name="_Toc77"/>
      <w:r>
        <w:rPr>
          <w:rFonts w:hint="eastAsia" w:ascii="宋体" w:hAnsi="宋体" w:cs="宋体"/>
          <w:b/>
          <w:bCs/>
          <w:color w:val="000000"/>
          <w:szCs w:val="28"/>
        </w:rPr>
        <w:t>项目名称：城南家园电梯维修包干服务</w:t>
      </w:r>
    </w:p>
    <w:p w14:paraId="3FDE576C">
      <w:pPr>
        <w:spacing w:line="460" w:lineRule="exact"/>
        <w:ind w:firstLine="420" w:firstLineChars="200"/>
        <w:rPr>
          <w:rFonts w:ascii="宋体" w:hAnsi="宋体" w:cs="宋体"/>
          <w:color w:val="000000"/>
          <w:szCs w:val="28"/>
        </w:rPr>
      </w:pPr>
      <w:r>
        <w:rPr>
          <w:rFonts w:hint="eastAsia" w:ascii="宋体" w:hAnsi="宋体" w:cs="宋体"/>
          <w:color w:val="000000"/>
          <w:szCs w:val="28"/>
        </w:rPr>
        <w:t>简介：采购一家电梯有资质的维修维保单位负责对城南家园住宅部分电梯进行日常保养与维修，电梯正常运行所需的日常维保。承担电梯正常运行发生故障或损坏（因不可抗力或人为损坏等原因造成电梯故障或损坏，为非正常故障或损坏，其余情况均为电梯正常运行发生的故障或损坏）后，所需维修或更换的零配件材料费、运输费、人工费等所有费用，并完成维修服务。</w:t>
      </w:r>
    </w:p>
    <w:p w14:paraId="7220C54C">
      <w:pPr>
        <w:spacing w:line="460" w:lineRule="exact"/>
        <w:ind w:firstLine="422" w:firstLineChars="200"/>
        <w:rPr>
          <w:rFonts w:ascii="宋体" w:hAnsi="宋体" w:cs="宋体"/>
          <w:b/>
          <w:color w:val="000000"/>
          <w:szCs w:val="28"/>
        </w:rPr>
      </w:pPr>
      <w:r>
        <w:rPr>
          <w:rFonts w:hint="eastAsia" w:ascii="宋体" w:hAnsi="宋体" w:cs="宋体"/>
          <w:b/>
          <w:color w:val="000000"/>
          <w:szCs w:val="28"/>
        </w:rPr>
        <w:t>二、比选项目技术需求</w:t>
      </w:r>
      <w:bookmarkEnd w:id="609"/>
    </w:p>
    <w:p w14:paraId="2596F150">
      <w:pPr>
        <w:spacing w:line="460" w:lineRule="exact"/>
        <w:ind w:firstLine="420" w:firstLineChars="200"/>
        <w:rPr>
          <w:rFonts w:ascii="宋体" w:hAnsi="宋体" w:cs="宋体"/>
          <w:color w:val="000000"/>
          <w:szCs w:val="28"/>
        </w:rPr>
      </w:pPr>
      <w:r>
        <w:rPr>
          <w:rFonts w:hint="eastAsia" w:ascii="宋体" w:hAnsi="宋体" w:cs="宋体"/>
          <w:color w:val="000000"/>
          <w:szCs w:val="28"/>
        </w:rPr>
        <w:t>（一）公租房电梯包干维修内容</w:t>
      </w:r>
    </w:p>
    <w:p w14:paraId="4DD1415A">
      <w:pPr>
        <w:spacing w:line="460" w:lineRule="exact"/>
        <w:ind w:firstLine="420" w:firstLineChars="200"/>
        <w:rPr>
          <w:rFonts w:ascii="宋体" w:hAnsi="宋体" w:cs="宋体"/>
          <w:color w:val="000000"/>
          <w:szCs w:val="28"/>
        </w:rPr>
      </w:pPr>
      <w:r>
        <w:rPr>
          <w:rFonts w:hint="eastAsia" w:ascii="宋体" w:hAnsi="宋体" w:cs="宋体"/>
          <w:color w:val="000000"/>
          <w:szCs w:val="28"/>
        </w:rPr>
        <w:t>本次比选为</w:t>
      </w:r>
      <w:r>
        <w:rPr>
          <w:rFonts w:hint="eastAsia" w:ascii="宋体" w:hAnsi="宋体" w:cs="宋体"/>
          <w:color w:val="000000"/>
          <w:szCs w:val="28"/>
          <w:u w:val="single"/>
        </w:rPr>
        <w:t>城南家园</w:t>
      </w:r>
      <w:r>
        <w:rPr>
          <w:rFonts w:hint="eastAsia" w:ascii="宋体" w:hAnsi="宋体" w:cs="宋体"/>
          <w:color w:val="000000"/>
          <w:szCs w:val="28"/>
        </w:rPr>
        <w:t>小区</w:t>
      </w:r>
      <w:r>
        <w:rPr>
          <w:rFonts w:hint="eastAsia" w:ascii="宋体" w:hAnsi="宋体" w:cs="宋体"/>
          <w:color w:val="000000"/>
          <w:szCs w:val="28"/>
          <w:u w:val="single"/>
        </w:rPr>
        <w:t>180</w:t>
      </w:r>
      <w:r>
        <w:rPr>
          <w:rFonts w:hint="eastAsia" w:ascii="宋体" w:hAnsi="宋体" w:cs="宋体"/>
          <w:color w:val="000000"/>
          <w:szCs w:val="28"/>
        </w:rPr>
        <w:t>台公租房电梯包干维修</w:t>
      </w:r>
      <w:r>
        <w:rPr>
          <w:rFonts w:hint="eastAsia" w:ascii="宋体" w:hAnsi="宋体" w:cs="宋体"/>
          <w:b/>
          <w:color w:val="000000"/>
          <w:szCs w:val="28"/>
        </w:rPr>
        <w:t>，</w:t>
      </w:r>
      <w:r>
        <w:rPr>
          <w:rFonts w:hint="eastAsia" w:asciiTheme="majorEastAsia" w:hAnsiTheme="majorEastAsia" w:eastAsiaTheme="majorEastAsia" w:cstheme="majorEastAsia"/>
          <w:bCs/>
          <w:szCs w:val="21"/>
        </w:rPr>
        <w:t>每台电梯包干维修含税比选申请最高限价为</w:t>
      </w:r>
      <w:r>
        <w:rPr>
          <w:rFonts w:asciiTheme="majorEastAsia" w:hAnsiTheme="majorEastAsia" w:eastAsiaTheme="majorEastAsia" w:cstheme="majorEastAsia"/>
          <w:bCs/>
          <w:szCs w:val="21"/>
        </w:rPr>
        <w:t>550元/月</w:t>
      </w:r>
      <w:r>
        <w:rPr>
          <w:rFonts w:hint="eastAsia" w:asciiTheme="majorEastAsia" w:hAnsiTheme="majorEastAsia" w:eastAsiaTheme="majorEastAsia" w:cstheme="majorEastAsia"/>
          <w:bCs/>
          <w:szCs w:val="21"/>
        </w:rPr>
        <w:t>，</w:t>
      </w:r>
      <w:r>
        <w:rPr>
          <w:rFonts w:hint="eastAsia" w:ascii="宋体" w:hAnsi="宋体" w:cs="宋体"/>
          <w:color w:val="000000"/>
          <w:szCs w:val="28"/>
        </w:rPr>
        <w:t>3年为一个维修合同周期，实际合同签订价格和金额以本次比选最终中选人的报价为准。</w:t>
      </w:r>
    </w:p>
    <w:p w14:paraId="5A3DF3C0">
      <w:pPr>
        <w:spacing w:line="460" w:lineRule="exact"/>
        <w:ind w:firstLine="420" w:firstLineChars="200"/>
        <w:rPr>
          <w:rFonts w:ascii="宋体" w:hAnsi="宋体" w:cs="宋体"/>
          <w:color w:val="000000"/>
          <w:szCs w:val="28"/>
        </w:rPr>
      </w:pPr>
      <w:r>
        <w:rPr>
          <w:rFonts w:hint="eastAsia" w:ascii="宋体" w:hAnsi="宋体" w:cs="宋体"/>
          <w:color w:val="000000"/>
          <w:szCs w:val="28"/>
        </w:rPr>
        <w:t>2.电梯包干维修即采购人提供定额维修包干费用，比选申请人按照《电梯施工类别划分表（修订版）》国质检特〔2019〕64号规定，负责提供除安装和改造以外的所有电梯修理劳务服务，包含材料、人工、运输等所有费用，同时比选申请人负责按照本项目比选文件要求，服务期内每年为维修范围内的电梯购买公众责任险保险。若服务期内，国家对电梯施工类别划分有新的修订和调整的，按照最新的标准和规定执行。</w:t>
      </w:r>
    </w:p>
    <w:p w14:paraId="67093567">
      <w:pPr>
        <w:spacing w:line="460" w:lineRule="exact"/>
        <w:ind w:firstLine="420" w:firstLineChars="200"/>
        <w:rPr>
          <w:rFonts w:ascii="宋体" w:hAnsi="宋体" w:cs="宋体"/>
          <w:color w:val="000000"/>
          <w:szCs w:val="28"/>
        </w:rPr>
      </w:pPr>
      <w:r>
        <w:rPr>
          <w:rFonts w:hint="eastAsia" w:ascii="宋体" w:hAnsi="宋体" w:cs="宋体"/>
          <w:color w:val="000000"/>
          <w:szCs w:val="28"/>
        </w:rPr>
        <w:t>各比选申请单位在比选申请截止时间前可自行与小区物业管理公司对接，对标的物进行现场查看，知晓标的物工况。无论比选申请人是否查看标的物，均视为比选申请人对标的物工况完全了解。</w:t>
      </w:r>
    </w:p>
    <w:p w14:paraId="15F6FE5D">
      <w:pPr>
        <w:spacing w:line="460" w:lineRule="exact"/>
        <w:ind w:firstLine="200"/>
        <w:rPr>
          <w:rFonts w:ascii="宋体" w:hAnsi="宋体" w:cs="宋体"/>
          <w:color w:val="000000"/>
          <w:szCs w:val="28"/>
        </w:rPr>
      </w:pPr>
      <w:r>
        <w:rPr>
          <w:rFonts w:hint="eastAsia" w:ascii="宋体" w:hAnsi="宋体" w:cs="宋体"/>
          <w:color w:val="000000"/>
          <w:szCs w:val="28"/>
        </w:rPr>
        <w:t>包干维修包括的主要内容（不仅限于以下内容）：</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8995"/>
      </w:tblGrid>
      <w:tr w14:paraId="27BC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36" w:type="pct"/>
            <w:vAlign w:val="center"/>
          </w:tcPr>
          <w:p w14:paraId="1147C21B">
            <w:pPr>
              <w:spacing w:line="460" w:lineRule="exact"/>
              <w:rPr>
                <w:rFonts w:ascii="宋体" w:hAnsi="宋体" w:cs="宋体"/>
                <w:color w:val="000000"/>
                <w:szCs w:val="28"/>
              </w:rPr>
            </w:pPr>
            <w:r>
              <w:rPr>
                <w:rFonts w:hint="eastAsia" w:ascii="宋体" w:hAnsi="宋体" w:cs="宋体"/>
                <w:color w:val="000000"/>
                <w:szCs w:val="28"/>
              </w:rPr>
              <w:t>位置</w:t>
            </w:r>
          </w:p>
        </w:tc>
        <w:tc>
          <w:tcPr>
            <w:tcW w:w="4564" w:type="pct"/>
            <w:vAlign w:val="center"/>
          </w:tcPr>
          <w:p w14:paraId="29656F22">
            <w:pPr>
              <w:spacing w:line="460" w:lineRule="exact"/>
              <w:jc w:val="center"/>
              <w:rPr>
                <w:rFonts w:ascii="宋体" w:hAnsi="宋体" w:cs="宋体"/>
                <w:color w:val="000000"/>
                <w:szCs w:val="28"/>
              </w:rPr>
            </w:pPr>
            <w:r>
              <w:rPr>
                <w:rFonts w:hint="eastAsia" w:ascii="宋体" w:hAnsi="宋体" w:cs="宋体"/>
                <w:color w:val="000000"/>
                <w:szCs w:val="28"/>
              </w:rPr>
              <w:t>包干维修主要零部件</w:t>
            </w:r>
          </w:p>
        </w:tc>
      </w:tr>
      <w:tr w14:paraId="64D6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36" w:type="pct"/>
            <w:vAlign w:val="center"/>
          </w:tcPr>
          <w:p w14:paraId="75391C50">
            <w:pPr>
              <w:spacing w:line="460" w:lineRule="exact"/>
              <w:rPr>
                <w:rFonts w:ascii="宋体" w:hAnsi="宋体" w:cs="宋体"/>
                <w:color w:val="000000"/>
                <w:szCs w:val="28"/>
              </w:rPr>
            </w:pPr>
            <w:r>
              <w:rPr>
                <w:rFonts w:hint="eastAsia" w:ascii="宋体" w:hAnsi="宋体" w:cs="宋体"/>
                <w:color w:val="000000"/>
                <w:szCs w:val="28"/>
              </w:rPr>
              <w:t>机房</w:t>
            </w:r>
          </w:p>
        </w:tc>
        <w:tc>
          <w:tcPr>
            <w:tcW w:w="4564" w:type="pct"/>
            <w:vAlign w:val="center"/>
          </w:tcPr>
          <w:p w14:paraId="222CAF92">
            <w:pPr>
              <w:spacing w:line="460" w:lineRule="exact"/>
              <w:rPr>
                <w:rFonts w:ascii="宋体" w:hAnsi="宋体" w:cs="宋体"/>
                <w:color w:val="000000"/>
                <w:szCs w:val="28"/>
              </w:rPr>
            </w:pPr>
            <w:r>
              <w:rPr>
                <w:rFonts w:hint="eastAsia" w:ascii="宋体" w:hAnsi="宋体" w:cs="宋体"/>
                <w:color w:val="000000"/>
                <w:szCs w:val="28"/>
              </w:rPr>
              <w:t xml:space="preserve">曳引机及组件、旋转编码器、控制柜及元器件、承重梁、导向轮、电源开关箱、限速器、急停开关、绳头组合、绳头板、轿厢上行超速保护装置等。 </w:t>
            </w:r>
          </w:p>
        </w:tc>
      </w:tr>
      <w:tr w14:paraId="4CD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36" w:type="pct"/>
            <w:vAlign w:val="center"/>
          </w:tcPr>
          <w:p w14:paraId="305F47A9">
            <w:pPr>
              <w:spacing w:line="460" w:lineRule="exact"/>
              <w:rPr>
                <w:rFonts w:ascii="宋体" w:hAnsi="宋体" w:cs="宋体"/>
                <w:color w:val="000000"/>
                <w:szCs w:val="28"/>
              </w:rPr>
            </w:pPr>
            <w:r>
              <w:rPr>
                <w:rFonts w:hint="eastAsia" w:ascii="宋体" w:hAnsi="宋体" w:cs="宋体"/>
                <w:color w:val="000000"/>
                <w:szCs w:val="28"/>
              </w:rPr>
              <w:t>井道</w:t>
            </w:r>
          </w:p>
        </w:tc>
        <w:tc>
          <w:tcPr>
            <w:tcW w:w="4564" w:type="pct"/>
            <w:vAlign w:val="center"/>
          </w:tcPr>
          <w:p w14:paraId="2FA7FFF8">
            <w:pPr>
              <w:spacing w:line="460" w:lineRule="exact"/>
              <w:rPr>
                <w:rFonts w:ascii="宋体" w:hAnsi="宋体" w:cs="宋体"/>
                <w:color w:val="000000"/>
                <w:szCs w:val="28"/>
              </w:rPr>
            </w:pPr>
            <w:r>
              <w:rPr>
                <w:rFonts w:hint="eastAsia" w:ascii="宋体" w:hAnsi="宋体" w:cs="宋体"/>
                <w:color w:val="000000"/>
                <w:szCs w:val="28"/>
              </w:rPr>
              <w:t>轿厢导轨、对重导轨、导轨支架、接导板、线槽、对重装置、曳引钢丝绳、限速器钢丝绳、换速、平层感应装置、限速器钢丝绳涨紧装置、随行电缆、电缆支架、缓冲器、补偿装置、轿厢、中间接线盒、底坑检修箱、安全保护装置等。</w:t>
            </w:r>
          </w:p>
        </w:tc>
      </w:tr>
      <w:tr w14:paraId="5856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6" w:type="pct"/>
            <w:vAlign w:val="center"/>
          </w:tcPr>
          <w:p w14:paraId="5CC32E6B">
            <w:pPr>
              <w:spacing w:line="460" w:lineRule="exact"/>
              <w:rPr>
                <w:rFonts w:ascii="宋体" w:hAnsi="宋体" w:cs="宋体"/>
                <w:color w:val="000000"/>
                <w:szCs w:val="28"/>
              </w:rPr>
            </w:pPr>
            <w:r>
              <w:rPr>
                <w:rFonts w:hint="eastAsia" w:ascii="宋体" w:hAnsi="宋体" w:cs="宋体"/>
                <w:color w:val="000000"/>
                <w:szCs w:val="28"/>
              </w:rPr>
              <w:t>轿厢</w:t>
            </w:r>
          </w:p>
        </w:tc>
        <w:tc>
          <w:tcPr>
            <w:tcW w:w="4564" w:type="pct"/>
            <w:vAlign w:val="center"/>
          </w:tcPr>
          <w:p w14:paraId="5F8D0ED5">
            <w:pPr>
              <w:spacing w:line="460" w:lineRule="exact"/>
              <w:rPr>
                <w:rFonts w:ascii="宋体" w:hAnsi="宋体" w:cs="宋体"/>
                <w:color w:val="000000"/>
                <w:szCs w:val="28"/>
              </w:rPr>
            </w:pPr>
            <w:r>
              <w:rPr>
                <w:rFonts w:hint="eastAsia" w:ascii="宋体" w:hAnsi="宋体" w:cs="宋体"/>
                <w:color w:val="000000"/>
                <w:szCs w:val="28"/>
              </w:rPr>
              <w:t>轿顶轮、轿架、轿底、轿壁、轿顶、轿门、门机、轿厢内地板、防夹保护装置、操纵箱、轿顶检修箱、照明装置、平层感应器、护脚板、导靴、安全钳、配重块、导轨润滑油杯、急停开关、安全窗、超载保护装置、紧急报警装置等。</w:t>
            </w:r>
          </w:p>
        </w:tc>
      </w:tr>
      <w:tr w14:paraId="2FC4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vAlign w:val="center"/>
          </w:tcPr>
          <w:p w14:paraId="37F99B92">
            <w:pPr>
              <w:spacing w:line="460" w:lineRule="exact"/>
              <w:rPr>
                <w:rFonts w:ascii="宋体" w:hAnsi="宋体" w:cs="宋体"/>
                <w:color w:val="000000"/>
                <w:szCs w:val="28"/>
              </w:rPr>
            </w:pPr>
            <w:r>
              <w:rPr>
                <w:rFonts w:hint="eastAsia" w:ascii="宋体" w:hAnsi="宋体" w:cs="宋体"/>
                <w:color w:val="000000"/>
                <w:szCs w:val="28"/>
              </w:rPr>
              <w:t>层站</w:t>
            </w:r>
          </w:p>
        </w:tc>
        <w:tc>
          <w:tcPr>
            <w:tcW w:w="4564" w:type="pct"/>
            <w:vAlign w:val="center"/>
          </w:tcPr>
          <w:p w14:paraId="4A93586D">
            <w:pPr>
              <w:spacing w:line="460" w:lineRule="exact"/>
              <w:rPr>
                <w:rFonts w:ascii="宋体" w:hAnsi="宋体" w:cs="宋体"/>
                <w:color w:val="000000"/>
                <w:szCs w:val="28"/>
              </w:rPr>
            </w:pPr>
            <w:r>
              <w:rPr>
                <w:rFonts w:hint="eastAsia" w:ascii="宋体" w:hAnsi="宋体" w:cs="宋体"/>
                <w:color w:val="000000"/>
                <w:szCs w:val="28"/>
              </w:rPr>
              <w:t>层楼显示器、层门装置、手动钥匙开关、层门、门锁、门套、层、轿门地坎、呼梯装置等。</w:t>
            </w:r>
          </w:p>
        </w:tc>
      </w:tr>
    </w:tbl>
    <w:p w14:paraId="6A780293">
      <w:pPr>
        <w:spacing w:line="460" w:lineRule="exact"/>
        <w:ind w:firstLine="420" w:firstLineChars="200"/>
        <w:rPr>
          <w:rFonts w:ascii="宋体" w:hAnsi="宋体" w:cs="宋体"/>
          <w:color w:val="000000"/>
          <w:szCs w:val="28"/>
        </w:rPr>
      </w:pPr>
      <w:r>
        <w:rPr>
          <w:rFonts w:hint="eastAsia" w:ascii="宋体" w:hAnsi="宋体" w:cs="宋体"/>
          <w:color w:val="000000"/>
          <w:szCs w:val="28"/>
        </w:rPr>
        <w:t>（二）不属于公租房电梯包干维修内容</w:t>
      </w:r>
    </w:p>
    <w:p w14:paraId="2329B6B7">
      <w:pPr>
        <w:spacing w:line="460" w:lineRule="exact"/>
        <w:ind w:firstLine="420" w:firstLineChars="200"/>
        <w:rPr>
          <w:rFonts w:ascii="宋体" w:hAnsi="宋体" w:cs="宋体"/>
          <w:color w:val="000000"/>
          <w:szCs w:val="28"/>
        </w:rPr>
      </w:pPr>
      <w:r>
        <w:rPr>
          <w:rFonts w:hint="eastAsia" w:ascii="宋体" w:hAnsi="宋体" w:cs="宋体"/>
          <w:color w:val="000000"/>
          <w:szCs w:val="28"/>
        </w:rPr>
        <w:t>1、非电梯本身的零部件及设备损坏，即业主提供的主电源开关，断路器，井道的土建结构，机房通风设备，用于地坑的抽水设备等。</w:t>
      </w:r>
    </w:p>
    <w:p w14:paraId="796AB5CF">
      <w:pPr>
        <w:spacing w:line="460" w:lineRule="exact"/>
        <w:ind w:firstLine="420" w:firstLineChars="200"/>
        <w:rPr>
          <w:rFonts w:ascii="宋体" w:hAnsi="宋体" w:cs="宋体"/>
          <w:color w:val="000000"/>
          <w:szCs w:val="28"/>
        </w:rPr>
      </w:pPr>
      <w:r>
        <w:rPr>
          <w:rFonts w:hint="eastAsia" w:ascii="宋体" w:hAnsi="宋体" w:cs="宋体"/>
          <w:color w:val="000000"/>
          <w:szCs w:val="28"/>
        </w:rPr>
        <w:t>2、不可抗力、人为损坏等其他原因造成的设备的损坏。</w:t>
      </w:r>
    </w:p>
    <w:p w14:paraId="6BF51C38">
      <w:pPr>
        <w:spacing w:line="460" w:lineRule="exact"/>
        <w:ind w:firstLine="420" w:firstLineChars="200"/>
        <w:rPr>
          <w:rFonts w:ascii="宋体" w:hAnsi="宋体" w:cs="宋体"/>
          <w:color w:val="000000"/>
          <w:szCs w:val="28"/>
        </w:rPr>
      </w:pPr>
      <w:r>
        <w:rPr>
          <w:rFonts w:hint="eastAsia" w:ascii="宋体" w:hAnsi="宋体" w:cs="宋体"/>
          <w:color w:val="000000"/>
          <w:szCs w:val="28"/>
        </w:rPr>
        <w:t>3、</w:t>
      </w:r>
      <w:bookmarkStart w:id="610" w:name="_Hlk62571835"/>
      <w:r>
        <w:rPr>
          <w:rFonts w:hint="eastAsia" w:ascii="宋体" w:hAnsi="宋体" w:cs="宋体"/>
          <w:color w:val="000000"/>
          <w:szCs w:val="28"/>
        </w:rPr>
        <w:t>因零部件老化或使用年限太长，维修和改造无法恢复使用需要整体更新的电梯。</w:t>
      </w:r>
    </w:p>
    <w:p w14:paraId="30AD943F">
      <w:pPr>
        <w:spacing w:line="460" w:lineRule="exact"/>
        <w:ind w:firstLine="420" w:firstLineChars="200"/>
        <w:rPr>
          <w:rFonts w:ascii="宋体" w:hAnsi="宋体" w:cs="宋体"/>
          <w:color w:val="000000"/>
          <w:szCs w:val="28"/>
        </w:rPr>
      </w:pPr>
      <w:r>
        <w:rPr>
          <w:rFonts w:hint="eastAsia" w:ascii="宋体" w:hAnsi="宋体" w:cs="宋体"/>
          <w:color w:val="000000"/>
          <w:szCs w:val="28"/>
        </w:rPr>
        <w:t>4、《电梯施工类别划分表（修订版）》国质检特〔2019〕64号</w:t>
      </w:r>
      <w:bookmarkEnd w:id="610"/>
      <w:r>
        <w:rPr>
          <w:rFonts w:hint="eastAsia" w:ascii="宋体" w:hAnsi="宋体" w:cs="宋体"/>
          <w:color w:val="000000"/>
          <w:szCs w:val="28"/>
        </w:rPr>
        <w:t>规定的安装和改造内容。（若国家对电梯施工类别划分有新的修订和调整的，按照最新规定的安装和改造内容执行）。详见下表：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8390"/>
      </w:tblGrid>
      <w:tr w14:paraId="21D6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743" w:type="pct"/>
            <w:tcBorders>
              <w:top w:val="single" w:color="auto" w:sz="4" w:space="0"/>
              <w:left w:val="single" w:color="auto" w:sz="4" w:space="0"/>
              <w:bottom w:val="single" w:color="auto" w:sz="4" w:space="0"/>
              <w:right w:val="single" w:color="auto" w:sz="4" w:space="0"/>
            </w:tcBorders>
            <w:vAlign w:val="center"/>
          </w:tcPr>
          <w:p w14:paraId="5E491766">
            <w:pPr>
              <w:spacing w:line="460" w:lineRule="exact"/>
              <w:jc w:val="center"/>
              <w:rPr>
                <w:rFonts w:ascii="宋体" w:hAnsi="宋体" w:cs="宋体"/>
                <w:color w:val="000000"/>
                <w:szCs w:val="28"/>
              </w:rPr>
            </w:pPr>
            <w:r>
              <w:rPr>
                <w:rFonts w:hint="eastAsia" w:ascii="宋体" w:hAnsi="宋体" w:cs="宋体"/>
                <w:color w:val="000000"/>
                <w:szCs w:val="28"/>
              </w:rPr>
              <w:t>安 装</w:t>
            </w:r>
          </w:p>
        </w:tc>
        <w:tc>
          <w:tcPr>
            <w:tcW w:w="4257" w:type="pct"/>
            <w:tcBorders>
              <w:top w:val="single" w:color="auto" w:sz="4" w:space="0"/>
              <w:left w:val="single" w:color="auto" w:sz="4" w:space="0"/>
              <w:bottom w:val="single" w:color="auto" w:sz="4" w:space="0"/>
              <w:right w:val="single" w:color="auto" w:sz="4" w:space="0"/>
            </w:tcBorders>
            <w:vAlign w:val="center"/>
          </w:tcPr>
          <w:p w14:paraId="0754AFD5">
            <w:pPr>
              <w:spacing w:line="460" w:lineRule="exact"/>
              <w:rPr>
                <w:rFonts w:ascii="宋体" w:hAnsi="宋体" w:cs="宋体"/>
                <w:color w:val="000000"/>
                <w:szCs w:val="28"/>
              </w:rPr>
            </w:pPr>
            <w:r>
              <w:rPr>
                <w:rFonts w:hint="eastAsia" w:ascii="宋体" w:hAnsi="宋体" w:cs="宋体"/>
                <w:color w:val="000000"/>
                <w:szCs w:val="28"/>
              </w:rPr>
              <w:t>采用组装、固定、调试等一系列作业方法，将电梯部件组合为具有使用价值的电梯整机的活动；包括移装。</w:t>
            </w:r>
          </w:p>
        </w:tc>
      </w:tr>
      <w:tr w14:paraId="2AE2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3" w:type="pct"/>
            <w:vAlign w:val="center"/>
          </w:tcPr>
          <w:p w14:paraId="6407527B">
            <w:pPr>
              <w:spacing w:line="460" w:lineRule="exact"/>
              <w:jc w:val="center"/>
              <w:rPr>
                <w:rFonts w:ascii="宋体" w:hAnsi="宋体" w:cs="宋体"/>
                <w:color w:val="000000"/>
                <w:szCs w:val="28"/>
              </w:rPr>
            </w:pPr>
            <w:r>
              <w:rPr>
                <w:rFonts w:hint="eastAsia" w:ascii="宋体" w:hAnsi="宋体" w:cs="宋体"/>
                <w:color w:val="000000"/>
                <w:szCs w:val="28"/>
              </w:rPr>
              <w:t>改  造</w:t>
            </w:r>
          </w:p>
        </w:tc>
        <w:tc>
          <w:tcPr>
            <w:tcW w:w="4257" w:type="pct"/>
            <w:vAlign w:val="center"/>
          </w:tcPr>
          <w:p w14:paraId="06B29239">
            <w:pPr>
              <w:spacing w:line="460" w:lineRule="exact"/>
              <w:rPr>
                <w:rFonts w:ascii="宋体" w:hAnsi="宋体" w:cs="宋体"/>
                <w:color w:val="000000"/>
                <w:szCs w:val="28"/>
              </w:rPr>
            </w:pPr>
            <w:r>
              <w:rPr>
                <w:rFonts w:hint="eastAsia" w:ascii="宋体" w:hAnsi="宋体" w:cs="宋体"/>
                <w:color w:val="000000"/>
                <w:szCs w:val="28"/>
              </w:rPr>
              <w:t>1. 改变电梯的额定（名义）速度、额定载重量、提升高度、轿厢自重（制造单位明确的预留装饰重量或累计增加/减少质量不超过额定载重量的5%除外）、防爆等级、驱动方式、悬挂方式、调速方式或控制方式。（注1）</w:t>
            </w:r>
          </w:p>
          <w:p w14:paraId="097DAFBA">
            <w:pPr>
              <w:spacing w:line="460" w:lineRule="exact"/>
              <w:rPr>
                <w:rFonts w:ascii="宋体" w:hAnsi="宋体" w:cs="宋体"/>
                <w:color w:val="000000"/>
                <w:szCs w:val="28"/>
              </w:rPr>
            </w:pPr>
            <w:r>
              <w:rPr>
                <w:rFonts w:hint="eastAsia" w:ascii="宋体" w:hAnsi="宋体" w:cs="宋体"/>
                <w:color w:val="000000"/>
                <w:szCs w:val="28"/>
              </w:rPr>
              <w:t>2. 改变轿门的类型、增加或减少轿门。</w:t>
            </w:r>
          </w:p>
          <w:p w14:paraId="7158F8AC">
            <w:pPr>
              <w:spacing w:line="460" w:lineRule="exact"/>
              <w:rPr>
                <w:rFonts w:ascii="宋体" w:hAnsi="宋体" w:cs="宋体"/>
                <w:color w:val="000000"/>
                <w:szCs w:val="28"/>
              </w:rPr>
            </w:pPr>
            <w:r>
              <w:rPr>
                <w:rFonts w:hint="eastAsia" w:ascii="宋体" w:hAnsi="宋体" w:cs="宋体"/>
                <w:color w:val="000000"/>
                <w:szCs w:val="28"/>
              </w:rPr>
              <w:t>3. 改变轿架受力结构、更换轿架或更换无轿架式轿厢。</w:t>
            </w:r>
          </w:p>
          <w:p w14:paraId="0FAF5AD7">
            <w:pPr>
              <w:spacing w:line="460" w:lineRule="exact"/>
              <w:rPr>
                <w:rFonts w:ascii="宋体" w:hAnsi="宋体" w:cs="宋体"/>
                <w:color w:val="000000"/>
                <w:szCs w:val="28"/>
              </w:rPr>
            </w:pPr>
            <w:r>
              <w:rPr>
                <w:rFonts w:hint="eastAsia" w:ascii="宋体" w:hAnsi="宋体" w:cs="宋体"/>
                <w:color w:val="000000"/>
                <w:szCs w:val="28"/>
              </w:rPr>
              <w:t>注1： 改变电梯的调速方式是指：如将乘客或载货电梯的交流变极调速系统改变为交流变频变压调速系统；或者改变自动扶梯与自动人行道的调速系统，使其由连续运行型改变为间歇运行型等。</w:t>
            </w:r>
          </w:p>
          <w:p w14:paraId="5B36238A">
            <w:pPr>
              <w:spacing w:line="460" w:lineRule="exact"/>
              <w:rPr>
                <w:rFonts w:ascii="宋体" w:hAnsi="宋体" w:cs="宋体"/>
                <w:color w:val="000000"/>
                <w:szCs w:val="28"/>
              </w:rPr>
            </w:pPr>
            <w:r>
              <w:rPr>
                <w:rFonts w:hint="eastAsia" w:ascii="宋体" w:hAnsi="宋体" w:cs="宋体"/>
                <w:color w:val="000000"/>
                <w:szCs w:val="28"/>
              </w:rPr>
              <w:t>控制方式是指：为响应来自操作装置的信号而对电梯的启动、停止和运行方向进行控制的方式，例如：按钮控制、信号控制以及集选控制（含单台集选控制、两台并联控制和多台群组控制）等。</w:t>
            </w:r>
          </w:p>
        </w:tc>
      </w:tr>
    </w:tbl>
    <w:p w14:paraId="6F570BC0">
      <w:pPr>
        <w:spacing w:line="460" w:lineRule="exact"/>
        <w:ind w:firstLine="422" w:firstLineChars="200"/>
        <w:rPr>
          <w:rFonts w:ascii="宋体" w:hAnsi="宋体" w:cs="宋体"/>
          <w:b/>
          <w:color w:val="000000"/>
          <w:szCs w:val="28"/>
        </w:rPr>
      </w:pPr>
      <w:r>
        <w:rPr>
          <w:rFonts w:hint="eastAsia" w:ascii="宋体" w:hAnsi="宋体" w:cs="宋体"/>
          <w:b/>
          <w:color w:val="000000"/>
          <w:szCs w:val="28"/>
        </w:rPr>
        <w:t>（三）关于公租房电梯日常维保</w:t>
      </w:r>
    </w:p>
    <w:p w14:paraId="1986592C">
      <w:pPr>
        <w:spacing w:line="460" w:lineRule="exact"/>
        <w:ind w:firstLine="420" w:firstLineChars="200"/>
        <w:rPr>
          <w:rFonts w:ascii="宋体" w:hAnsi="宋体" w:cs="宋体"/>
          <w:color w:val="000000"/>
          <w:szCs w:val="28"/>
        </w:rPr>
      </w:pPr>
      <w:r>
        <w:rPr>
          <w:rFonts w:hint="eastAsia" w:ascii="宋体" w:hAnsi="宋体" w:cs="宋体"/>
          <w:color w:val="000000"/>
          <w:szCs w:val="28"/>
        </w:rPr>
        <w:t>中选签约方式：由比选人、小区物业企业和中选人签订电梯日常维保+包干维修组合合同。</w:t>
      </w:r>
    </w:p>
    <w:p w14:paraId="66A3DCC6">
      <w:pPr>
        <w:spacing w:line="460" w:lineRule="exact"/>
        <w:ind w:firstLine="422" w:firstLineChars="200"/>
        <w:rPr>
          <w:rFonts w:ascii="宋体" w:hAnsi="宋体" w:cs="宋体"/>
          <w:b/>
          <w:color w:val="000000"/>
          <w:szCs w:val="28"/>
        </w:rPr>
      </w:pPr>
      <w:r>
        <w:rPr>
          <w:rFonts w:hint="eastAsia" w:ascii="宋体" w:hAnsi="宋体" w:cs="宋体"/>
          <w:b/>
          <w:color w:val="000000"/>
          <w:szCs w:val="28"/>
        </w:rPr>
        <w:t>（四）关于公租房电梯的移交及接管</w:t>
      </w:r>
    </w:p>
    <w:p w14:paraId="6D380E3F">
      <w:pPr>
        <w:spacing w:line="460" w:lineRule="exact"/>
        <w:ind w:firstLine="420" w:firstLineChars="200"/>
        <w:rPr>
          <w:rFonts w:ascii="宋体" w:hAnsi="宋体" w:cs="宋体"/>
          <w:color w:val="000000"/>
          <w:szCs w:val="28"/>
        </w:rPr>
      </w:pPr>
      <w:r>
        <w:rPr>
          <w:rFonts w:hint="eastAsia" w:ascii="宋体" w:hAnsi="宋体" w:cs="宋体"/>
          <w:color w:val="000000"/>
          <w:szCs w:val="28"/>
        </w:rPr>
        <w:t>1、电梯包干维修中选人中选后，即开展对标的物电梯的查验、接管工作，非不可抗力及比选人的原因，中选人须在接到中选通知后，30个自然日内完成电梯查验移交，并全面接管。</w:t>
      </w:r>
    </w:p>
    <w:p w14:paraId="0F2661EC">
      <w:pPr>
        <w:spacing w:line="460" w:lineRule="exact"/>
        <w:ind w:firstLine="420" w:firstLineChars="200"/>
        <w:rPr>
          <w:rFonts w:ascii="宋体" w:hAnsi="宋体" w:cs="宋体"/>
          <w:color w:val="000000"/>
          <w:szCs w:val="28"/>
        </w:rPr>
      </w:pPr>
      <w:r>
        <w:rPr>
          <w:rFonts w:hint="eastAsia" w:ascii="宋体" w:hAnsi="宋体" w:cs="宋体"/>
          <w:color w:val="000000"/>
          <w:szCs w:val="28"/>
        </w:rPr>
        <w:t>2、年检合格且未停运的电梯，即按现状移交，比选人不承担电梯接管及移交后产生的任何费用，中选人须予以认可。</w:t>
      </w:r>
    </w:p>
    <w:p w14:paraId="351E3EA3">
      <w:pPr>
        <w:spacing w:line="460" w:lineRule="exact"/>
        <w:ind w:firstLine="420" w:firstLineChars="200"/>
        <w:rPr>
          <w:rFonts w:ascii="宋体" w:hAnsi="宋体" w:cs="宋体"/>
          <w:color w:val="000000"/>
          <w:szCs w:val="28"/>
        </w:rPr>
      </w:pPr>
      <w:r>
        <w:rPr>
          <w:rFonts w:hint="eastAsia" w:ascii="宋体" w:hAnsi="宋体" w:cs="宋体"/>
          <w:color w:val="000000"/>
          <w:szCs w:val="28"/>
        </w:rPr>
        <w:t>3、中选人日常保养与维修合同期结束时，应确保所有电梯正常运行，并负责与下一个电梯日常保养与维修企业完成电梯移交，移交中查验发现的电梯问题由中选人在30个自然日内完成整改及移交工作。</w:t>
      </w:r>
    </w:p>
    <w:p w14:paraId="74D3CDD2">
      <w:pPr>
        <w:spacing w:line="460" w:lineRule="exact"/>
        <w:ind w:firstLine="422" w:firstLineChars="200"/>
        <w:rPr>
          <w:rFonts w:ascii="宋体" w:hAnsi="宋体" w:cs="宋体"/>
          <w:color w:val="000000"/>
          <w:szCs w:val="28"/>
        </w:rPr>
      </w:pPr>
      <w:r>
        <w:rPr>
          <w:rFonts w:hint="eastAsia" w:ascii="宋体" w:hAnsi="宋体" w:cs="宋体"/>
          <w:b/>
          <w:color w:val="000000"/>
          <w:szCs w:val="28"/>
        </w:rPr>
        <w:t>（五）维修维保工作的考核监督</w:t>
      </w:r>
    </w:p>
    <w:p w14:paraId="60C4A426">
      <w:pPr>
        <w:spacing w:line="460" w:lineRule="exact"/>
        <w:ind w:firstLine="420" w:firstLineChars="200"/>
        <w:rPr>
          <w:rFonts w:ascii="宋体" w:hAnsi="宋体" w:cs="宋体"/>
          <w:color w:val="000000"/>
          <w:szCs w:val="28"/>
        </w:rPr>
      </w:pPr>
      <w:r>
        <w:rPr>
          <w:rFonts w:hint="eastAsia" w:ascii="宋体" w:hAnsi="宋体" w:cs="宋体"/>
          <w:color w:val="000000"/>
          <w:szCs w:val="28"/>
        </w:rPr>
        <w:t>维修维保周期内，比选人和物业企业按照《重庆市公共租赁房电梯日常维保与维修包干服务工作考核暂行办法》对中选人进行考核，服务不到位的按考核办法规定和合同约定扣除日常维修费用，年度考核不合格的可以终止合同的执行。</w:t>
      </w:r>
    </w:p>
    <w:p w14:paraId="3F11711A">
      <w:pPr>
        <w:spacing w:line="460" w:lineRule="exact"/>
        <w:ind w:firstLine="422" w:firstLineChars="200"/>
        <w:rPr>
          <w:rFonts w:ascii="宋体" w:hAnsi="宋体" w:cs="宋体"/>
          <w:b/>
          <w:color w:val="000000"/>
          <w:szCs w:val="28"/>
        </w:rPr>
      </w:pPr>
      <w:r>
        <w:rPr>
          <w:rFonts w:hint="eastAsia" w:ascii="宋体" w:hAnsi="宋体" w:cs="宋体"/>
          <w:b/>
          <w:color w:val="000000"/>
          <w:szCs w:val="28"/>
        </w:rPr>
        <w:t>（六）、服务标准</w:t>
      </w:r>
    </w:p>
    <w:p w14:paraId="7ABAC722">
      <w:pPr>
        <w:spacing w:line="460" w:lineRule="exact"/>
        <w:ind w:firstLine="420" w:firstLineChars="200"/>
        <w:rPr>
          <w:rFonts w:ascii="宋体" w:hAnsi="宋体" w:cs="宋体"/>
          <w:color w:val="000000"/>
          <w:szCs w:val="28"/>
        </w:rPr>
      </w:pPr>
      <w:bookmarkStart w:id="611" w:name="_Hlk65483974"/>
      <w:r>
        <w:rPr>
          <w:rFonts w:hint="eastAsia" w:ascii="宋体" w:hAnsi="宋体" w:cs="宋体"/>
          <w:color w:val="000000"/>
          <w:szCs w:val="28"/>
        </w:rPr>
        <w:t>①电梯维护保养规则TSGT5002-2017</w:t>
      </w:r>
    </w:p>
    <w:p w14:paraId="7801128D">
      <w:pPr>
        <w:spacing w:line="460" w:lineRule="exact"/>
        <w:ind w:firstLine="420" w:firstLineChars="200"/>
        <w:rPr>
          <w:rFonts w:ascii="宋体" w:hAnsi="宋体" w:cs="宋体"/>
          <w:color w:val="000000"/>
          <w:szCs w:val="28"/>
        </w:rPr>
      </w:pPr>
      <w:r>
        <w:rPr>
          <w:rFonts w:hint="eastAsia" w:ascii="宋体" w:hAnsi="宋体" w:cs="宋体"/>
          <w:color w:val="000000"/>
          <w:szCs w:val="28"/>
        </w:rPr>
        <w:t>②</w:t>
      </w:r>
      <w:bookmarkStart w:id="612" w:name="_Hlk65856168"/>
      <w:r>
        <w:rPr>
          <w:rFonts w:hint="eastAsia" w:ascii="宋体" w:hAnsi="宋体" w:cs="宋体"/>
          <w:color w:val="000000"/>
          <w:szCs w:val="28"/>
        </w:rPr>
        <w:t>电梯、自动扶梯和自动人行道维修规范GBT18775-2009</w:t>
      </w:r>
      <w:bookmarkEnd w:id="612"/>
    </w:p>
    <w:bookmarkEnd w:id="611"/>
    <w:p w14:paraId="5BBBCC9C">
      <w:pPr>
        <w:spacing w:line="460" w:lineRule="exact"/>
        <w:ind w:firstLine="420" w:firstLineChars="200"/>
        <w:rPr>
          <w:rFonts w:ascii="宋体" w:hAnsi="宋体" w:cs="宋体"/>
          <w:color w:val="000000"/>
          <w:szCs w:val="28"/>
        </w:rPr>
      </w:pPr>
      <w:r>
        <w:rPr>
          <w:rFonts w:hint="eastAsia" w:ascii="宋体" w:hAnsi="宋体" w:cs="宋体"/>
          <w:color w:val="000000"/>
          <w:szCs w:val="28"/>
        </w:rPr>
        <w:t>③电梯日常维护保养规则DB11/418-2007（中选人选择提供日常维保后服从）</w:t>
      </w:r>
    </w:p>
    <w:p w14:paraId="60670966">
      <w:pPr>
        <w:spacing w:line="460" w:lineRule="exact"/>
        <w:ind w:firstLine="420" w:firstLineChars="200"/>
        <w:rPr>
          <w:rFonts w:ascii="宋体" w:hAnsi="宋体" w:cs="宋体"/>
          <w:color w:val="000000"/>
          <w:szCs w:val="28"/>
        </w:rPr>
      </w:pPr>
      <w:r>
        <w:rPr>
          <w:rFonts w:hint="eastAsia" w:ascii="宋体" w:hAnsi="宋体" w:cs="宋体"/>
          <w:color w:val="000000"/>
          <w:szCs w:val="28"/>
        </w:rPr>
        <w:t>④电梯安装维修作业安全规范DB11/419-2007</w:t>
      </w:r>
    </w:p>
    <w:p w14:paraId="25D4C444">
      <w:pPr>
        <w:spacing w:line="460" w:lineRule="exact"/>
        <w:ind w:firstLine="420" w:firstLineChars="200"/>
        <w:rPr>
          <w:rFonts w:ascii="宋体" w:hAnsi="宋体" w:cs="宋体"/>
          <w:color w:val="000000"/>
          <w:szCs w:val="28"/>
        </w:rPr>
      </w:pPr>
      <w:r>
        <w:rPr>
          <w:rFonts w:hint="eastAsia" w:ascii="宋体" w:hAnsi="宋体" w:cs="宋体"/>
          <w:color w:val="000000"/>
          <w:szCs w:val="28"/>
        </w:rPr>
        <w:t>⑤电梯安装改造重大维修和维护保养自检规则DB11/420-2007</w:t>
      </w:r>
    </w:p>
    <w:p w14:paraId="7A0A99F2">
      <w:pPr>
        <w:spacing w:line="460" w:lineRule="exact"/>
        <w:ind w:firstLine="420" w:firstLineChars="200"/>
        <w:rPr>
          <w:rFonts w:ascii="宋体" w:hAnsi="宋体" w:cs="宋体"/>
          <w:color w:val="000000"/>
          <w:szCs w:val="28"/>
        </w:rPr>
      </w:pPr>
      <w:r>
        <w:rPr>
          <w:rFonts w:hint="eastAsia" w:ascii="宋体" w:hAnsi="宋体" w:cs="宋体"/>
          <w:color w:val="000000"/>
          <w:szCs w:val="28"/>
        </w:rPr>
        <w:t>⑥电梯安装使用维护说明书</w:t>
      </w:r>
    </w:p>
    <w:p w14:paraId="20DFDBA9">
      <w:pPr>
        <w:spacing w:line="460" w:lineRule="exact"/>
        <w:ind w:firstLine="420" w:firstLineChars="200"/>
        <w:rPr>
          <w:rFonts w:ascii="宋体" w:hAnsi="宋体" w:cs="宋体"/>
          <w:color w:val="000000"/>
          <w:szCs w:val="28"/>
        </w:rPr>
      </w:pPr>
      <w:r>
        <w:rPr>
          <w:rFonts w:hint="eastAsia" w:ascii="宋体" w:hAnsi="宋体" w:cs="宋体"/>
          <w:color w:val="000000"/>
          <w:szCs w:val="28"/>
        </w:rPr>
        <w:t>⑦电梯、自动扶梯和自动人行道运行服务规范（GB/T34146-2017）</w:t>
      </w:r>
    </w:p>
    <w:p w14:paraId="4CEA86CB">
      <w:pPr>
        <w:spacing w:line="460" w:lineRule="exact"/>
        <w:ind w:firstLine="420" w:firstLineChars="200"/>
        <w:rPr>
          <w:rFonts w:ascii="宋体" w:hAnsi="宋体" w:cs="宋体"/>
          <w:color w:val="000000"/>
          <w:szCs w:val="28"/>
        </w:rPr>
      </w:pPr>
      <w:r>
        <w:rPr>
          <w:rFonts w:hint="eastAsia" w:ascii="宋体" w:hAnsi="宋体" w:cs="宋体"/>
          <w:color w:val="000000"/>
          <w:szCs w:val="28"/>
        </w:rPr>
        <w:t>⑧重庆市特种设备安全条例</w:t>
      </w:r>
    </w:p>
    <w:p w14:paraId="06DC5E49">
      <w:pPr>
        <w:spacing w:line="460" w:lineRule="exact"/>
        <w:ind w:firstLine="420" w:firstLineChars="200"/>
        <w:rPr>
          <w:rFonts w:ascii="宋体" w:hAnsi="宋体" w:cs="宋体"/>
          <w:color w:val="000000"/>
          <w:szCs w:val="28"/>
        </w:rPr>
      </w:pPr>
      <w:r>
        <w:rPr>
          <w:rFonts w:hint="eastAsia" w:ascii="宋体" w:hAnsi="宋体" w:cs="宋体"/>
          <w:color w:val="000000"/>
          <w:szCs w:val="28"/>
        </w:rPr>
        <w:t>⑨维保合同</w:t>
      </w:r>
    </w:p>
    <w:p w14:paraId="59ED4E24">
      <w:pPr>
        <w:spacing w:line="460" w:lineRule="exact"/>
        <w:ind w:firstLine="422" w:firstLineChars="200"/>
        <w:rPr>
          <w:rFonts w:ascii="宋体" w:hAnsi="宋体" w:cs="宋体"/>
          <w:b/>
          <w:color w:val="000000"/>
          <w:szCs w:val="28"/>
        </w:rPr>
      </w:pPr>
      <w:r>
        <w:rPr>
          <w:rFonts w:hint="eastAsia" w:ascii="宋体" w:hAnsi="宋体" w:cs="宋体"/>
          <w:b/>
          <w:color w:val="000000"/>
          <w:szCs w:val="28"/>
        </w:rPr>
        <w:t>（七）、检验标准</w:t>
      </w:r>
    </w:p>
    <w:p w14:paraId="0441DA53">
      <w:pPr>
        <w:spacing w:line="460" w:lineRule="exact"/>
        <w:ind w:firstLine="420" w:firstLineChars="200"/>
        <w:rPr>
          <w:rFonts w:ascii="宋体" w:hAnsi="宋体" w:cs="宋体"/>
          <w:color w:val="000000"/>
          <w:szCs w:val="28"/>
        </w:rPr>
      </w:pPr>
      <w:r>
        <w:rPr>
          <w:rFonts w:hint="eastAsia" w:ascii="宋体" w:hAnsi="宋体" w:cs="宋体"/>
          <w:color w:val="000000"/>
          <w:szCs w:val="28"/>
        </w:rPr>
        <w:t>①电梯监督检验和定期检验规则TSG 7001-2009</w:t>
      </w:r>
    </w:p>
    <w:p w14:paraId="6E679726">
      <w:pPr>
        <w:spacing w:line="460" w:lineRule="exact"/>
        <w:ind w:firstLine="420" w:firstLineChars="200"/>
        <w:rPr>
          <w:rFonts w:ascii="宋体" w:hAnsi="宋体" w:cs="宋体"/>
          <w:color w:val="000000"/>
          <w:szCs w:val="28"/>
        </w:rPr>
      </w:pPr>
      <w:r>
        <w:rPr>
          <w:rFonts w:hint="eastAsia" w:ascii="宋体" w:hAnsi="宋体" w:cs="宋体"/>
          <w:color w:val="000000"/>
          <w:szCs w:val="28"/>
        </w:rPr>
        <w:t>②以上规章、标准不论有无年代号，除有特别说明的以外，均以最新有效版本为准。</w:t>
      </w:r>
    </w:p>
    <w:p w14:paraId="4D12E0E1">
      <w:pPr>
        <w:spacing w:line="460" w:lineRule="exact"/>
        <w:ind w:firstLine="422" w:firstLineChars="200"/>
        <w:rPr>
          <w:rFonts w:ascii="宋体" w:hAnsi="宋体" w:cs="宋体"/>
          <w:b/>
          <w:color w:val="000000"/>
          <w:szCs w:val="28"/>
        </w:rPr>
      </w:pPr>
      <w:r>
        <w:rPr>
          <w:rFonts w:hint="eastAsia" w:ascii="宋体" w:hAnsi="宋体" w:cs="宋体"/>
          <w:b/>
          <w:color w:val="000000"/>
          <w:szCs w:val="28"/>
        </w:rPr>
        <w:t>（八）、电梯日常保养与维修包干服务要求</w:t>
      </w:r>
    </w:p>
    <w:p w14:paraId="5BFE2BBE">
      <w:pPr>
        <w:spacing w:line="460" w:lineRule="exact"/>
        <w:ind w:firstLine="420" w:firstLineChars="200"/>
        <w:rPr>
          <w:rFonts w:ascii="宋体" w:hAnsi="宋体" w:cs="宋体"/>
          <w:color w:val="000000"/>
          <w:szCs w:val="28"/>
        </w:rPr>
      </w:pPr>
      <w:r>
        <w:rPr>
          <w:rFonts w:hint="eastAsia" w:ascii="宋体" w:hAnsi="宋体" w:cs="宋体"/>
          <w:color w:val="000000"/>
          <w:szCs w:val="28"/>
        </w:rPr>
        <w:t>1、保证电梯安全运行，并在保证电梯安全运行的前提下满足正常生产的需要。</w:t>
      </w:r>
    </w:p>
    <w:p w14:paraId="10EE8266">
      <w:pPr>
        <w:spacing w:line="460" w:lineRule="exact"/>
        <w:ind w:firstLine="420" w:firstLineChars="200"/>
        <w:rPr>
          <w:rFonts w:ascii="宋体" w:hAnsi="宋体" w:cs="宋体"/>
          <w:color w:val="000000"/>
          <w:szCs w:val="28"/>
        </w:rPr>
      </w:pPr>
      <w:r>
        <w:rPr>
          <w:rFonts w:hint="eastAsia" w:ascii="宋体" w:hAnsi="宋体" w:cs="宋体"/>
          <w:color w:val="000000"/>
          <w:szCs w:val="28"/>
        </w:rPr>
        <w:t>2、制定完善的维保方案，建立维保电子台账，按照《电梯维护保养规则TSGT5002-2017》要求，以不低于每15日且按需对电梯实施维保。</w:t>
      </w:r>
    </w:p>
    <w:p w14:paraId="0390A459">
      <w:pPr>
        <w:spacing w:line="460" w:lineRule="exact"/>
        <w:ind w:firstLine="420" w:firstLineChars="200"/>
        <w:rPr>
          <w:rFonts w:ascii="宋体" w:hAnsi="宋体" w:cs="宋体"/>
          <w:color w:val="000000"/>
          <w:szCs w:val="28"/>
        </w:rPr>
      </w:pPr>
      <w:r>
        <w:rPr>
          <w:rFonts w:hint="eastAsia" w:ascii="宋体" w:hAnsi="宋体" w:cs="宋体"/>
          <w:color w:val="000000"/>
          <w:szCs w:val="28"/>
        </w:rPr>
        <w:t>3、包干维修服务应遵守的标准</w:t>
      </w:r>
    </w:p>
    <w:p w14:paraId="128CF6C9">
      <w:pPr>
        <w:spacing w:line="460" w:lineRule="exact"/>
        <w:ind w:firstLine="420" w:firstLineChars="200"/>
        <w:rPr>
          <w:rFonts w:ascii="宋体" w:hAnsi="宋体" w:cs="宋体"/>
          <w:color w:val="000000"/>
          <w:szCs w:val="28"/>
        </w:rPr>
      </w:pPr>
      <w:r>
        <w:rPr>
          <w:rFonts w:hint="eastAsia" w:ascii="宋体" w:hAnsi="宋体" w:cs="宋体"/>
          <w:color w:val="000000"/>
          <w:szCs w:val="28"/>
        </w:rPr>
        <w:t>①电梯维护保养规则TSGT5002-2017</w:t>
      </w:r>
    </w:p>
    <w:p w14:paraId="6E44FF4E">
      <w:pPr>
        <w:spacing w:line="460" w:lineRule="exact"/>
        <w:ind w:firstLine="420" w:firstLineChars="200"/>
        <w:rPr>
          <w:rFonts w:ascii="宋体" w:hAnsi="宋体" w:cs="宋体"/>
          <w:color w:val="000000"/>
          <w:szCs w:val="28"/>
        </w:rPr>
      </w:pPr>
      <w:r>
        <w:rPr>
          <w:rFonts w:hint="eastAsia" w:ascii="宋体" w:hAnsi="宋体" w:cs="宋体"/>
          <w:color w:val="000000"/>
          <w:szCs w:val="28"/>
        </w:rPr>
        <w:t>②电梯、自动扶梯和自动人行道维修规范GBT18775-2009</w:t>
      </w:r>
    </w:p>
    <w:p w14:paraId="1D46705B">
      <w:pPr>
        <w:spacing w:line="460" w:lineRule="exact"/>
        <w:ind w:firstLine="420" w:firstLineChars="200"/>
        <w:rPr>
          <w:rFonts w:ascii="宋体" w:hAnsi="宋体" w:cs="宋体"/>
          <w:color w:val="000000"/>
          <w:szCs w:val="28"/>
        </w:rPr>
      </w:pPr>
      <w:r>
        <w:rPr>
          <w:rFonts w:hint="eastAsia" w:ascii="宋体" w:hAnsi="宋体" w:cs="宋体"/>
          <w:color w:val="000000"/>
          <w:szCs w:val="28"/>
        </w:rPr>
        <w:t>③电梯日常维护保养规则DB11/418-2007（中选人选择提供日常维保后服从）</w:t>
      </w:r>
    </w:p>
    <w:p w14:paraId="342805D0">
      <w:pPr>
        <w:spacing w:line="460" w:lineRule="exact"/>
        <w:ind w:firstLine="420" w:firstLineChars="200"/>
        <w:rPr>
          <w:rFonts w:ascii="宋体" w:hAnsi="宋体" w:cs="宋体"/>
          <w:color w:val="000000"/>
          <w:szCs w:val="28"/>
        </w:rPr>
      </w:pPr>
      <w:r>
        <w:rPr>
          <w:rFonts w:hint="eastAsia" w:ascii="宋体" w:hAnsi="宋体" w:cs="宋体"/>
          <w:color w:val="000000"/>
          <w:szCs w:val="28"/>
        </w:rPr>
        <w:t>④电梯安装维修作业安全规范DB11/419-2007</w:t>
      </w:r>
    </w:p>
    <w:p w14:paraId="4DF43488">
      <w:pPr>
        <w:spacing w:line="460" w:lineRule="exact"/>
        <w:ind w:firstLine="420" w:firstLineChars="200"/>
        <w:rPr>
          <w:rFonts w:ascii="宋体" w:hAnsi="宋体" w:cs="宋体"/>
          <w:color w:val="000000"/>
          <w:szCs w:val="28"/>
        </w:rPr>
      </w:pPr>
      <w:r>
        <w:rPr>
          <w:rFonts w:hint="eastAsia" w:ascii="宋体" w:hAnsi="宋体" w:cs="宋体"/>
          <w:color w:val="000000"/>
          <w:szCs w:val="28"/>
        </w:rPr>
        <w:t>⑤电梯安装改造重大维修和维护保养自检规则DB11/420-2007</w:t>
      </w:r>
    </w:p>
    <w:p w14:paraId="4C7A6B38">
      <w:pPr>
        <w:spacing w:line="460" w:lineRule="exact"/>
        <w:ind w:firstLine="420" w:firstLineChars="200"/>
        <w:rPr>
          <w:rFonts w:ascii="宋体" w:hAnsi="宋体" w:cs="宋体"/>
          <w:color w:val="000000"/>
          <w:szCs w:val="28"/>
        </w:rPr>
      </w:pPr>
      <w:r>
        <w:rPr>
          <w:rFonts w:hint="eastAsia" w:ascii="宋体" w:hAnsi="宋体" w:cs="宋体"/>
          <w:color w:val="000000"/>
          <w:szCs w:val="28"/>
        </w:rPr>
        <w:t>⑥电梯安装使用维护说明书</w:t>
      </w:r>
    </w:p>
    <w:p w14:paraId="5B50AEDA">
      <w:pPr>
        <w:spacing w:line="460" w:lineRule="exact"/>
        <w:ind w:firstLine="420" w:firstLineChars="200"/>
        <w:rPr>
          <w:rFonts w:ascii="宋体" w:hAnsi="宋体" w:cs="宋体"/>
          <w:color w:val="000000"/>
          <w:szCs w:val="28"/>
        </w:rPr>
      </w:pPr>
      <w:r>
        <w:rPr>
          <w:rFonts w:hint="eastAsia" w:ascii="宋体" w:hAnsi="宋体" w:cs="宋体"/>
          <w:color w:val="000000"/>
          <w:szCs w:val="28"/>
        </w:rPr>
        <w:t>⑦电梯、自动扶梯和自动人行道运行服务规范（GB/T34146-2017）</w:t>
      </w:r>
    </w:p>
    <w:p w14:paraId="2A205EF1">
      <w:pPr>
        <w:spacing w:line="460" w:lineRule="exact"/>
        <w:ind w:firstLine="420" w:firstLineChars="200"/>
        <w:rPr>
          <w:rFonts w:ascii="宋体" w:hAnsi="宋体" w:cs="宋体"/>
          <w:color w:val="000000"/>
          <w:szCs w:val="28"/>
        </w:rPr>
      </w:pPr>
      <w:r>
        <w:rPr>
          <w:rFonts w:hint="eastAsia" w:ascii="宋体" w:hAnsi="宋体" w:cs="宋体"/>
          <w:color w:val="000000"/>
          <w:szCs w:val="28"/>
        </w:rPr>
        <w:t>⑧重庆市特种设备安全条例</w:t>
      </w:r>
    </w:p>
    <w:p w14:paraId="590C00A4">
      <w:pPr>
        <w:spacing w:line="460" w:lineRule="exact"/>
        <w:ind w:firstLine="420" w:firstLineChars="200"/>
        <w:rPr>
          <w:rFonts w:ascii="宋体" w:hAnsi="宋体" w:cs="宋体"/>
          <w:color w:val="000000"/>
          <w:szCs w:val="28"/>
        </w:rPr>
      </w:pPr>
      <w:r>
        <w:rPr>
          <w:rFonts w:hint="eastAsia" w:ascii="宋体" w:hAnsi="宋体" w:cs="宋体"/>
          <w:color w:val="000000"/>
          <w:szCs w:val="28"/>
        </w:rPr>
        <w:t>⑨维保合同</w:t>
      </w:r>
    </w:p>
    <w:p w14:paraId="50383636">
      <w:pPr>
        <w:spacing w:line="460" w:lineRule="exact"/>
        <w:ind w:firstLine="420" w:firstLineChars="200"/>
        <w:rPr>
          <w:rFonts w:ascii="宋体" w:hAnsi="宋体" w:cs="宋体"/>
          <w:color w:val="000000"/>
          <w:szCs w:val="28"/>
        </w:rPr>
      </w:pPr>
      <w:r>
        <w:rPr>
          <w:rFonts w:hint="eastAsia" w:ascii="宋体" w:hAnsi="宋体" w:cs="宋体"/>
          <w:color w:val="000000"/>
          <w:szCs w:val="28"/>
        </w:rPr>
        <w:t>4、实施维护保养驻点服务，驻点人员数量满足服务需求。比选人不提供驻点用房。</w:t>
      </w:r>
    </w:p>
    <w:p w14:paraId="5C540011">
      <w:pPr>
        <w:spacing w:line="460" w:lineRule="exact"/>
        <w:ind w:firstLine="420" w:firstLineChars="200"/>
        <w:rPr>
          <w:rFonts w:ascii="宋体" w:hAnsi="宋体" w:cs="宋体"/>
          <w:color w:val="000000"/>
          <w:szCs w:val="28"/>
        </w:rPr>
      </w:pPr>
      <w:r>
        <w:rPr>
          <w:rFonts w:hint="eastAsia" w:ascii="宋体" w:hAnsi="宋体" w:cs="宋体"/>
          <w:color w:val="000000"/>
          <w:szCs w:val="28"/>
        </w:rPr>
        <w:t>5、驻点人员的姓名、通迅号码并提供他们有效的特种设备作业人员资格证书复印件（须加盖中选人印章）。驻点人员更换需经比选人同意，若未经同意中选人擅自更换驻点人员，视为违约。</w:t>
      </w:r>
    </w:p>
    <w:p w14:paraId="3D57B38A">
      <w:pPr>
        <w:spacing w:line="460" w:lineRule="exact"/>
        <w:ind w:firstLine="420" w:firstLineChars="200"/>
        <w:rPr>
          <w:rFonts w:ascii="宋体" w:hAnsi="宋体" w:cs="宋体"/>
          <w:color w:val="000000"/>
          <w:szCs w:val="28"/>
        </w:rPr>
      </w:pPr>
      <w:r>
        <w:rPr>
          <w:rFonts w:hint="eastAsia" w:ascii="宋体" w:hAnsi="宋体" w:cs="宋体"/>
          <w:color w:val="000000"/>
          <w:szCs w:val="28"/>
        </w:rPr>
        <w:t>6、设立小区服务电话、人工报修、查询、投诉接待点，须提供全年365天24小时的应急响应服务，并确保通讯畅通。</w:t>
      </w:r>
    </w:p>
    <w:p w14:paraId="32873D98">
      <w:pPr>
        <w:spacing w:line="460" w:lineRule="exact"/>
        <w:ind w:firstLine="420" w:firstLineChars="200"/>
        <w:rPr>
          <w:rFonts w:ascii="宋体" w:hAnsi="宋体" w:cs="宋体"/>
          <w:color w:val="000000"/>
          <w:szCs w:val="28"/>
        </w:rPr>
      </w:pPr>
      <w:r>
        <w:rPr>
          <w:rFonts w:hint="eastAsia" w:ascii="宋体" w:hAnsi="宋体" w:cs="宋体"/>
          <w:color w:val="000000"/>
          <w:szCs w:val="28"/>
        </w:rPr>
        <w:t>①提供驻点服务的项目的维保人员，在接到故障或事故报警后15分钟内到达现场，并能提供正常连续的服务直至故障或事故排除，超出时间引起的事故或损失应承担相应的责任；</w:t>
      </w:r>
    </w:p>
    <w:p w14:paraId="6462F174">
      <w:pPr>
        <w:spacing w:line="460" w:lineRule="exact"/>
        <w:ind w:firstLine="420" w:firstLineChars="200"/>
        <w:rPr>
          <w:rFonts w:ascii="宋体" w:hAnsi="宋体" w:cs="宋体"/>
          <w:color w:val="000000"/>
          <w:szCs w:val="28"/>
        </w:rPr>
      </w:pPr>
      <w:r>
        <w:rPr>
          <w:rFonts w:hint="eastAsia" w:ascii="宋体" w:hAnsi="宋体" w:cs="宋体"/>
          <w:color w:val="000000"/>
          <w:szCs w:val="28"/>
        </w:rPr>
        <w:t>②对电梯困人事故要求在到达现场后30分钟内把乘客从轿厢中救出；</w:t>
      </w:r>
    </w:p>
    <w:p w14:paraId="16B574EE">
      <w:pPr>
        <w:spacing w:line="460" w:lineRule="exact"/>
        <w:ind w:firstLine="420" w:firstLineChars="200"/>
        <w:rPr>
          <w:rFonts w:ascii="宋体" w:hAnsi="宋体" w:cs="宋体"/>
          <w:color w:val="000000"/>
          <w:szCs w:val="28"/>
        </w:rPr>
      </w:pPr>
      <w:r>
        <w:rPr>
          <w:rFonts w:hint="eastAsia" w:ascii="宋体" w:hAnsi="宋体" w:cs="宋体"/>
          <w:color w:val="000000"/>
          <w:szCs w:val="28"/>
        </w:rPr>
        <w:t>③对故障电梯进行诊断，并于故障后4小时内对一般维修事项实施维修，恢复电梯正常运行；</w:t>
      </w:r>
    </w:p>
    <w:p w14:paraId="72FACF39">
      <w:pPr>
        <w:spacing w:line="460" w:lineRule="exact"/>
        <w:ind w:firstLine="420" w:firstLineChars="200"/>
        <w:rPr>
          <w:rFonts w:ascii="宋体" w:hAnsi="宋体" w:cs="宋体"/>
          <w:color w:val="000000"/>
          <w:szCs w:val="28"/>
        </w:rPr>
      </w:pPr>
      <w:r>
        <w:rPr>
          <w:rFonts w:hint="eastAsia" w:ascii="宋体" w:hAnsi="宋体" w:cs="宋体"/>
          <w:color w:val="000000"/>
          <w:szCs w:val="28"/>
        </w:rPr>
        <w:t>④合同服务范围内的电梯修理工作，电梯重大维修停梯三日内未修复的，比选人扣除该台电梯一个月包干维修费；电梯重大维修停梯六日内未修复的，扣除该台电梯三个月包干维修费；电梯重大维修停梯九日内未修复的，扣除该台电梯六个月包干维修费。一般维修4小时内未修复的，扣除该台电梯该月的包干维修费。比选申请人承担因停梯造成的相应损失。履约保证金的扣除详见合同和考核办法。</w:t>
      </w:r>
    </w:p>
    <w:p w14:paraId="7A22FC04">
      <w:pPr>
        <w:spacing w:line="460" w:lineRule="exact"/>
        <w:ind w:firstLine="420" w:firstLineChars="200"/>
        <w:rPr>
          <w:rFonts w:ascii="宋体" w:hAnsi="宋体" w:cs="宋体"/>
          <w:color w:val="000000"/>
          <w:szCs w:val="28"/>
        </w:rPr>
      </w:pPr>
      <w:r>
        <w:rPr>
          <w:rFonts w:hint="eastAsia" w:ascii="宋体" w:hAnsi="宋体" w:cs="宋体"/>
          <w:color w:val="000000"/>
          <w:szCs w:val="28"/>
        </w:rPr>
        <w:t>⑤按照市市场监管局规定对合同期内的电梯开展定期检测和年检工作，如因维修维保质量原因未能通过定期检测或年检的，发生的复检费用由中选单位负责；</w:t>
      </w:r>
    </w:p>
    <w:p w14:paraId="62EA9EEE">
      <w:pPr>
        <w:spacing w:line="460" w:lineRule="exact"/>
        <w:ind w:firstLine="420" w:firstLineChars="200"/>
        <w:rPr>
          <w:rFonts w:ascii="宋体" w:hAnsi="宋体" w:cs="宋体"/>
          <w:color w:val="000000"/>
          <w:szCs w:val="28"/>
        </w:rPr>
      </w:pPr>
      <w:r>
        <w:rPr>
          <w:rFonts w:hint="eastAsia" w:ascii="宋体" w:hAnsi="宋体" w:cs="宋体"/>
          <w:color w:val="000000"/>
          <w:szCs w:val="28"/>
        </w:rPr>
        <w:t>7、提供所包干维修电梯合理的部件库存，且提供的维修零部件应符合《节能产品政府采购品目清单》和《环境标志产品政府采购清单》规定的节能、环保要求。比选人不提供库存用房。</w:t>
      </w:r>
    </w:p>
    <w:p w14:paraId="36F7F365">
      <w:pPr>
        <w:spacing w:line="460" w:lineRule="exact"/>
        <w:ind w:firstLine="420" w:firstLineChars="200"/>
        <w:rPr>
          <w:rFonts w:ascii="宋体" w:hAnsi="宋体" w:cs="宋体"/>
          <w:color w:val="000000"/>
          <w:szCs w:val="28"/>
        </w:rPr>
      </w:pPr>
      <w:bookmarkStart w:id="613" w:name="_Hlk72395044"/>
      <w:r>
        <w:rPr>
          <w:rFonts w:hint="eastAsia" w:ascii="宋体" w:hAnsi="宋体" w:cs="宋体"/>
          <w:color w:val="000000"/>
          <w:szCs w:val="28"/>
        </w:rPr>
        <w:t>8、除电梯更新或改造以外，维修需使用取得国家认可合格证书的通用零部件，且需要更换的零部件在维修更换前要建立入库索证和台账，做到所有零部件可溯源。</w:t>
      </w:r>
    </w:p>
    <w:bookmarkEnd w:id="613"/>
    <w:p w14:paraId="7B182168">
      <w:pPr>
        <w:spacing w:line="460" w:lineRule="exact"/>
        <w:ind w:firstLine="420" w:firstLineChars="200"/>
        <w:rPr>
          <w:rFonts w:ascii="宋体" w:hAnsi="宋体" w:cs="宋体"/>
          <w:color w:val="000000"/>
          <w:szCs w:val="28"/>
        </w:rPr>
      </w:pPr>
      <w:r>
        <w:rPr>
          <w:rFonts w:hint="eastAsia" w:ascii="宋体" w:hAnsi="宋体" w:cs="宋体"/>
          <w:color w:val="000000"/>
          <w:szCs w:val="28"/>
        </w:rPr>
        <w:t>9、如因不可抗力或人为损坏等其他责任原因造成电梯故障或损坏，中选人有责任负责及时将其修复或更换，使电梯先行恢复安全、正常运行，费用双方另行协商确定。</w:t>
      </w:r>
    </w:p>
    <w:p w14:paraId="554F8F1D">
      <w:pPr>
        <w:spacing w:line="460" w:lineRule="exact"/>
        <w:ind w:firstLine="420" w:firstLineChars="200"/>
        <w:rPr>
          <w:rFonts w:ascii="宋体" w:hAnsi="宋体" w:cs="宋体"/>
          <w:color w:val="000000"/>
          <w:szCs w:val="28"/>
        </w:rPr>
      </w:pPr>
      <w:r>
        <w:rPr>
          <w:rFonts w:hint="eastAsia" w:ascii="宋体" w:hAnsi="宋体" w:cs="宋体"/>
          <w:color w:val="000000"/>
          <w:szCs w:val="28"/>
        </w:rPr>
        <w:t>10、根据中选人合同期内服务质量、技术标准考核结果，如考核结果不合格的，比选人（合同签约甲方）有权终止合同。</w:t>
      </w:r>
    </w:p>
    <w:p w14:paraId="399389F2">
      <w:pPr>
        <w:spacing w:line="460" w:lineRule="exact"/>
        <w:ind w:firstLine="420" w:firstLineChars="200"/>
        <w:rPr>
          <w:rFonts w:ascii="宋体" w:hAnsi="宋体" w:cs="宋体"/>
          <w:color w:val="000000"/>
          <w:szCs w:val="28"/>
        </w:rPr>
      </w:pPr>
      <w:r>
        <w:rPr>
          <w:rFonts w:hint="eastAsia" w:ascii="宋体" w:hAnsi="宋体" w:cs="宋体"/>
          <w:color w:val="000000"/>
          <w:szCs w:val="28"/>
        </w:rPr>
        <w:t>11、电梯如出现伤亡事故，中选人有义务组织人员救治，并先行垫付相关救治费用，待事故责任调查鉴定清楚后，由责任人偿还。</w:t>
      </w:r>
    </w:p>
    <w:p w14:paraId="44BC8551">
      <w:pPr>
        <w:spacing w:line="460" w:lineRule="exact"/>
        <w:ind w:firstLine="420" w:firstLineChars="200"/>
        <w:rPr>
          <w:rFonts w:ascii="宋体" w:hAnsi="宋体" w:cs="宋体"/>
          <w:color w:val="000000"/>
          <w:szCs w:val="28"/>
        </w:rPr>
      </w:pPr>
      <w:r>
        <w:rPr>
          <w:rFonts w:hint="eastAsia" w:ascii="宋体" w:hAnsi="宋体" w:cs="宋体"/>
          <w:color w:val="000000"/>
          <w:szCs w:val="28"/>
        </w:rPr>
        <w:t>12、除电梯包干维修服务合同要求外，中选企业遵照并执行《重庆市公共租赁房电梯日常维保与维修包干服务工作考核暂行办法》及其他涉及公租房电梯的管理办法。</w:t>
      </w:r>
    </w:p>
    <w:p w14:paraId="2612B98C">
      <w:pPr>
        <w:spacing w:line="460" w:lineRule="exact"/>
        <w:ind w:firstLine="420" w:firstLineChars="200"/>
        <w:rPr>
          <w:rFonts w:ascii="宋体" w:hAnsi="宋体" w:cs="宋体"/>
          <w:color w:val="000000"/>
          <w:szCs w:val="28"/>
        </w:rPr>
      </w:pPr>
      <w:r>
        <w:rPr>
          <w:rFonts w:hint="eastAsia" w:ascii="宋体" w:hAnsi="宋体" w:cs="宋体"/>
          <w:color w:val="000000"/>
          <w:szCs w:val="28"/>
        </w:rPr>
        <w:t>13、承担电梯三方通话（电梯轿厢内部对讲装置及电梯轿厢到楼幢弱电井的通讯线路）日常维保及维修责任。</w:t>
      </w:r>
    </w:p>
    <w:p w14:paraId="3D2BDE0B">
      <w:pPr>
        <w:spacing w:line="460" w:lineRule="exact"/>
        <w:ind w:firstLine="420" w:firstLineChars="200"/>
        <w:rPr>
          <w:rFonts w:ascii="宋体" w:hAnsi="宋体" w:cs="宋体"/>
          <w:color w:val="000000"/>
          <w:szCs w:val="28"/>
        </w:rPr>
      </w:pPr>
      <w:r>
        <w:rPr>
          <w:rFonts w:hint="eastAsia" w:ascii="宋体" w:hAnsi="宋体" w:cs="宋体"/>
          <w:color w:val="000000"/>
          <w:szCs w:val="28"/>
        </w:rPr>
        <w:t>14、将日常维保与维修工作中更换配件清单报备比选人。</w:t>
      </w:r>
    </w:p>
    <w:p w14:paraId="2E3444FE">
      <w:pPr>
        <w:spacing w:line="460" w:lineRule="exact"/>
        <w:ind w:firstLine="420" w:firstLineChars="200"/>
        <w:rPr>
          <w:rFonts w:ascii="宋体" w:hAnsi="宋体" w:cs="宋体"/>
          <w:color w:val="000000"/>
          <w:szCs w:val="28"/>
        </w:rPr>
      </w:pPr>
      <w:r>
        <w:rPr>
          <w:rFonts w:hint="eastAsia" w:ascii="宋体" w:hAnsi="宋体" w:cs="宋体"/>
          <w:color w:val="000000"/>
          <w:szCs w:val="28"/>
        </w:rPr>
        <w:t>15、中选企业应加强对电梯的看护。若电梯发生人为损坏后，由电梯包干维修中选人负责先行修复。</w:t>
      </w:r>
    </w:p>
    <w:p w14:paraId="5C16DF3D">
      <w:pPr>
        <w:spacing w:line="460" w:lineRule="exact"/>
        <w:ind w:firstLine="420" w:firstLineChars="200"/>
        <w:rPr>
          <w:rFonts w:ascii="宋体" w:hAnsi="宋体" w:cs="宋体"/>
          <w:color w:val="000000"/>
          <w:szCs w:val="28"/>
        </w:rPr>
      </w:pPr>
      <w:r>
        <w:rPr>
          <w:rFonts w:hint="eastAsia" w:ascii="宋体" w:hAnsi="宋体" w:cs="宋体"/>
          <w:color w:val="000000"/>
          <w:szCs w:val="28"/>
        </w:rPr>
        <w:t>16、配合电梯安装、改造、更新、服务质量等级评定等工作。</w:t>
      </w:r>
    </w:p>
    <w:p w14:paraId="1FE5E2DE">
      <w:pPr>
        <w:spacing w:line="460" w:lineRule="exact"/>
        <w:ind w:firstLine="420" w:firstLineChars="200"/>
        <w:rPr>
          <w:rFonts w:ascii="宋体" w:hAnsi="宋体" w:cs="宋体"/>
          <w:color w:val="000000"/>
          <w:szCs w:val="28"/>
        </w:rPr>
      </w:pPr>
      <w:bookmarkStart w:id="614" w:name="_Hlk65667393"/>
      <w:r>
        <w:rPr>
          <w:rFonts w:hint="eastAsia" w:ascii="宋体" w:hAnsi="宋体" w:cs="宋体"/>
          <w:color w:val="000000"/>
          <w:szCs w:val="28"/>
        </w:rPr>
        <w:t>17、电梯企业承诺配合和认可比选人邀请专业机构和行业专家按年度对服务质量进行评定。</w:t>
      </w:r>
    </w:p>
    <w:p w14:paraId="6438D03B">
      <w:pPr>
        <w:spacing w:line="460" w:lineRule="exact"/>
        <w:ind w:firstLine="420" w:firstLineChars="200"/>
        <w:rPr>
          <w:rFonts w:ascii="宋体" w:hAnsi="宋体" w:cs="宋体"/>
          <w:color w:val="000000"/>
          <w:szCs w:val="28"/>
        </w:rPr>
      </w:pPr>
      <w:r>
        <w:rPr>
          <w:rFonts w:hint="eastAsia" w:ascii="宋体" w:hAnsi="宋体" w:cs="宋体"/>
          <w:color w:val="000000"/>
          <w:szCs w:val="28"/>
        </w:rPr>
        <w:t>18、</w:t>
      </w:r>
      <w:bookmarkStart w:id="615" w:name="_Hlk74156970"/>
      <w:r>
        <w:rPr>
          <w:rFonts w:hint="eastAsia" w:ascii="宋体" w:hAnsi="宋体" w:cs="宋体"/>
          <w:color w:val="000000"/>
          <w:szCs w:val="28"/>
        </w:rPr>
        <w:t>电梯企业承诺按年建立小区电梯维修台账，独立核算年度维修成本，并请第三方审价机构对全年成本进行复核并出具成本核算报告。维修台账和成本核算报告报市公租房管理局备案。</w:t>
      </w:r>
    </w:p>
    <w:bookmarkEnd w:id="614"/>
    <w:bookmarkEnd w:id="615"/>
    <w:p w14:paraId="3EC3F62D">
      <w:pPr>
        <w:snapToGrid w:val="0"/>
        <w:spacing w:line="460" w:lineRule="exact"/>
        <w:ind w:firstLine="491" w:firstLineChars="233"/>
        <w:rPr>
          <w:rFonts w:ascii="宋体" w:hAnsi="宋体" w:cs="宋体"/>
          <w:b/>
          <w:bCs/>
          <w:color w:val="000000"/>
          <w:szCs w:val="28"/>
        </w:rPr>
      </w:pPr>
      <w:r>
        <w:rPr>
          <w:rFonts w:hint="eastAsia" w:ascii="宋体" w:hAnsi="宋体" w:cs="宋体"/>
          <w:b/>
          <w:bCs/>
          <w:color w:val="000000"/>
          <w:szCs w:val="28"/>
        </w:rPr>
        <w:t>四、其他要求：</w:t>
      </w:r>
    </w:p>
    <w:p w14:paraId="431272A3">
      <w:pPr>
        <w:snapToGrid w:val="0"/>
        <w:spacing w:line="460" w:lineRule="exact"/>
        <w:ind w:firstLine="420" w:firstLineChars="200"/>
        <w:rPr>
          <w:rFonts w:ascii="宋体" w:hAnsi="宋体" w:cs="宋体"/>
          <w:color w:val="000000"/>
          <w:szCs w:val="28"/>
        </w:rPr>
      </w:pPr>
      <w:r>
        <w:rPr>
          <w:rFonts w:hint="eastAsia" w:ascii="宋体" w:hAnsi="宋体" w:cs="宋体"/>
          <w:color w:val="000000"/>
          <w:szCs w:val="28"/>
        </w:rPr>
        <w:t>1、所有报价的产品，各项技术标准应当符合国家（强制性）标准及各项规范要求。国家没有相应标准、规范的，可使用行业标准规定。</w:t>
      </w:r>
    </w:p>
    <w:p w14:paraId="5F8EADF4">
      <w:pPr>
        <w:snapToGrid w:val="0"/>
        <w:spacing w:line="460" w:lineRule="exact"/>
        <w:ind w:firstLine="420" w:firstLineChars="200"/>
        <w:rPr>
          <w:rFonts w:ascii="宋体" w:hAnsi="宋体" w:cs="宋体"/>
          <w:color w:val="000000"/>
          <w:szCs w:val="28"/>
        </w:rPr>
      </w:pPr>
      <w:r>
        <w:rPr>
          <w:rFonts w:hint="eastAsia" w:ascii="宋体" w:hAnsi="宋体" w:cs="宋体"/>
          <w:color w:val="000000"/>
          <w:szCs w:val="28"/>
        </w:rPr>
        <w:t>2、中选人必须严格执行含有强制性条款的国家标准。</w:t>
      </w:r>
    </w:p>
    <w:p w14:paraId="16E98349">
      <w:pPr>
        <w:rPr>
          <w:rFonts w:asciiTheme="majorEastAsia" w:hAnsiTheme="majorEastAsia" w:eastAsiaTheme="majorEastAsia" w:cstheme="majorEastAsia"/>
          <w:b/>
          <w:iCs/>
          <w:kern w:val="0"/>
          <w:sz w:val="24"/>
          <w:szCs w:val="24"/>
        </w:rPr>
      </w:pPr>
    </w:p>
    <w:p w14:paraId="5228AA00">
      <w:pPr>
        <w:widowControl/>
        <w:ind w:firstLine="562" w:firstLineChars="200"/>
        <w:jc w:val="left"/>
        <w:rPr>
          <w:rFonts w:asciiTheme="majorEastAsia" w:hAnsiTheme="majorEastAsia" w:eastAsiaTheme="majorEastAsia" w:cstheme="majorEastAsia"/>
          <w:b/>
          <w:sz w:val="28"/>
          <w:szCs w:val="28"/>
        </w:rPr>
      </w:pPr>
    </w:p>
    <w:p w14:paraId="34E34AB2">
      <w:pPr>
        <w:widowControl/>
        <w:spacing w:line="360" w:lineRule="auto"/>
        <w:ind w:firstLine="482" w:firstLineChars="20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注：本章内容须由比选申请人全部响应，提供承诺函，格式自拟。若不响应或响应不全，由评审小组作否决处理；若中选后在实施过程中被发现与承诺的以上技术标准和要求不一致，中选人有权取消其中选资格，有权不支付已实施工作产生的相关费用，责任自负。比选人保留对中选人虚假承诺的追究权利。</w:t>
      </w:r>
    </w:p>
    <w:p w14:paraId="127FDD07">
      <w:pPr>
        <w:widowControl/>
        <w:ind w:firstLine="562" w:firstLineChars="200"/>
        <w:jc w:val="left"/>
        <w:rPr>
          <w:rFonts w:asciiTheme="majorEastAsia" w:hAnsiTheme="majorEastAsia" w:eastAsiaTheme="majorEastAsia" w:cstheme="majorEastAsia"/>
          <w:b/>
          <w:sz w:val="28"/>
          <w:szCs w:val="28"/>
        </w:rPr>
      </w:pPr>
    </w:p>
    <w:p w14:paraId="1473E205">
      <w:pPr>
        <w:widowControl/>
        <w:jc w:val="center"/>
        <w:rPr>
          <w:rFonts w:asciiTheme="majorEastAsia" w:hAnsiTheme="majorEastAsia" w:eastAsiaTheme="majorEastAsia" w:cstheme="majorEastAsia"/>
          <w:sz w:val="40"/>
        </w:rPr>
      </w:pPr>
    </w:p>
    <w:p w14:paraId="3ED67D96">
      <w:pPr>
        <w:widowControl/>
        <w:jc w:val="center"/>
        <w:rPr>
          <w:rFonts w:asciiTheme="majorEastAsia" w:hAnsiTheme="majorEastAsia" w:eastAsiaTheme="majorEastAsia" w:cstheme="majorEastAsia"/>
          <w:sz w:val="40"/>
        </w:rPr>
        <w:sectPr>
          <w:headerReference r:id="rId7" w:type="default"/>
          <w:footerReference r:id="rId8" w:type="default"/>
          <w:pgSz w:w="11906" w:h="16838"/>
          <w:pgMar w:top="1134" w:right="1134" w:bottom="1134" w:left="1134" w:header="851" w:footer="992" w:gutter="0"/>
          <w:cols w:space="0" w:num="1"/>
          <w:docGrid w:linePitch="312" w:charSpace="0"/>
        </w:sectPr>
      </w:pPr>
    </w:p>
    <w:p w14:paraId="3C86B2D9">
      <w:pPr>
        <w:pStyle w:val="2"/>
        <w:numPr>
          <w:ilvl w:val="0"/>
          <w:numId w:val="0"/>
        </w:numPr>
        <w:rPr>
          <w:rFonts w:asciiTheme="majorEastAsia" w:hAnsiTheme="majorEastAsia" w:eastAsiaTheme="majorEastAsia" w:cstheme="majorEastAsia"/>
          <w:b/>
          <w:kern w:val="0"/>
          <w:sz w:val="36"/>
          <w:szCs w:val="36"/>
        </w:rPr>
      </w:pPr>
      <w:bookmarkStart w:id="616" w:name="_Toc11387"/>
      <w:bookmarkStart w:id="617" w:name="_Toc14326"/>
      <w:bookmarkStart w:id="618" w:name="_Toc202469371"/>
      <w:bookmarkStart w:id="619" w:name="_Toc30368"/>
      <w:bookmarkStart w:id="620" w:name="_Toc315"/>
      <w:bookmarkStart w:id="621" w:name="_Toc444155995"/>
      <w:r>
        <w:rPr>
          <w:rFonts w:hint="eastAsia" w:asciiTheme="majorEastAsia" w:hAnsiTheme="majorEastAsia" w:eastAsiaTheme="majorEastAsia" w:cstheme="majorEastAsia"/>
          <w:b/>
          <w:kern w:val="0"/>
          <w:sz w:val="36"/>
          <w:szCs w:val="36"/>
        </w:rPr>
        <w:t>第七章 比选申请文件格式</w:t>
      </w:r>
      <w:bookmarkEnd w:id="616"/>
      <w:bookmarkEnd w:id="617"/>
      <w:bookmarkEnd w:id="618"/>
      <w:bookmarkEnd w:id="619"/>
      <w:bookmarkEnd w:id="620"/>
      <w:bookmarkEnd w:id="621"/>
    </w:p>
    <w:p w14:paraId="78A27B1B">
      <w:pPr>
        <w:widowControl/>
        <w:jc w:val="left"/>
        <w:rPr>
          <w:rFonts w:asciiTheme="majorEastAsia" w:hAnsiTheme="majorEastAsia" w:eastAsiaTheme="majorEastAsia" w:cstheme="majorEastAsia"/>
          <w:kern w:val="0"/>
          <w:sz w:val="28"/>
        </w:rPr>
      </w:pPr>
      <w:r>
        <w:rPr>
          <w:rFonts w:hint="eastAsia" w:asciiTheme="majorEastAsia" w:hAnsiTheme="majorEastAsia" w:eastAsiaTheme="majorEastAsia" w:cstheme="majorEastAsia"/>
          <w:kern w:val="0"/>
          <w:sz w:val="28"/>
        </w:rPr>
        <w:br w:type="page"/>
      </w:r>
    </w:p>
    <w:p w14:paraId="3C390D77">
      <w:pPr>
        <w:spacing w:line="540" w:lineRule="exact"/>
        <w:ind w:firstLine="1251" w:firstLineChars="445"/>
        <w:rPr>
          <w:rFonts w:asciiTheme="majorEastAsia" w:hAnsiTheme="majorEastAsia" w:eastAsiaTheme="majorEastAsia" w:cstheme="majorEastAsia"/>
          <w:sz w:val="36"/>
          <w:szCs w:val="44"/>
          <w:u w:val="single"/>
        </w:rPr>
      </w:pPr>
      <w:r>
        <w:rPr>
          <w:rFonts w:hint="eastAsia" w:asciiTheme="majorEastAsia" w:hAnsiTheme="majorEastAsia" w:eastAsiaTheme="majorEastAsia" w:cstheme="majorEastAsia"/>
          <w:b/>
          <w:kern w:val="0"/>
          <w:sz w:val="28"/>
        </w:rPr>
        <w:t xml:space="preserve">  </w:t>
      </w:r>
      <w:r>
        <w:rPr>
          <w:rFonts w:hint="eastAsia" w:asciiTheme="majorEastAsia" w:hAnsiTheme="majorEastAsia" w:eastAsiaTheme="majorEastAsia" w:cstheme="majorEastAsia"/>
          <w:sz w:val="36"/>
          <w:szCs w:val="44"/>
          <w:u w:val="single"/>
        </w:rPr>
        <w:t xml:space="preserve">                    (项目名称)   </w:t>
      </w:r>
    </w:p>
    <w:p w14:paraId="269F2174">
      <w:pPr>
        <w:adjustRightInd w:val="0"/>
        <w:snapToGrid w:val="0"/>
        <w:jc w:val="center"/>
        <w:rPr>
          <w:rFonts w:asciiTheme="majorEastAsia" w:hAnsiTheme="majorEastAsia" w:eastAsiaTheme="majorEastAsia" w:cstheme="majorEastAsia"/>
          <w:b/>
          <w:sz w:val="32"/>
          <w:szCs w:val="32"/>
        </w:rPr>
      </w:pPr>
    </w:p>
    <w:p w14:paraId="70A8C581">
      <w:pPr>
        <w:adjustRightInd w:val="0"/>
        <w:snapToGrid w:val="0"/>
        <w:rPr>
          <w:rFonts w:asciiTheme="majorEastAsia" w:hAnsiTheme="majorEastAsia" w:eastAsiaTheme="majorEastAsia" w:cstheme="majorEastAsia"/>
          <w:b/>
          <w:sz w:val="116"/>
        </w:rPr>
      </w:pPr>
    </w:p>
    <w:p w14:paraId="68CF87DD">
      <w:pPr>
        <w:pStyle w:val="19"/>
        <w:rPr>
          <w:rFonts w:asciiTheme="majorEastAsia" w:hAnsiTheme="majorEastAsia" w:eastAsiaTheme="majorEastAsia" w:cstheme="majorEastAsia"/>
        </w:rPr>
      </w:pPr>
    </w:p>
    <w:p w14:paraId="615566C8">
      <w:pPr>
        <w:rPr>
          <w:rFonts w:asciiTheme="majorEastAsia" w:hAnsiTheme="majorEastAsia" w:eastAsiaTheme="majorEastAsia" w:cstheme="majorEastAsia"/>
        </w:rPr>
      </w:pPr>
    </w:p>
    <w:p w14:paraId="1DFF1D73">
      <w:pPr>
        <w:pStyle w:val="19"/>
        <w:rPr>
          <w:rFonts w:asciiTheme="majorEastAsia" w:hAnsiTheme="majorEastAsia" w:eastAsiaTheme="majorEastAsia" w:cstheme="majorEastAsia"/>
        </w:rPr>
      </w:pPr>
    </w:p>
    <w:p w14:paraId="06AE6E63">
      <w:pPr>
        <w:rPr>
          <w:rFonts w:asciiTheme="majorEastAsia" w:hAnsiTheme="majorEastAsia" w:eastAsiaTheme="majorEastAsia" w:cstheme="majorEastAsia"/>
        </w:rPr>
      </w:pPr>
    </w:p>
    <w:p w14:paraId="03DB7C3C">
      <w:pPr>
        <w:pStyle w:val="19"/>
        <w:rPr>
          <w:rFonts w:asciiTheme="majorEastAsia" w:hAnsiTheme="majorEastAsia" w:eastAsiaTheme="majorEastAsia" w:cstheme="majorEastAsia"/>
        </w:rPr>
      </w:pPr>
    </w:p>
    <w:p w14:paraId="550A8910">
      <w:pPr>
        <w:rPr>
          <w:rFonts w:asciiTheme="majorEastAsia" w:hAnsiTheme="majorEastAsia" w:eastAsiaTheme="majorEastAsia" w:cstheme="majorEastAsia"/>
        </w:rPr>
      </w:pPr>
    </w:p>
    <w:p w14:paraId="343CAD59">
      <w:pPr>
        <w:pStyle w:val="19"/>
        <w:rPr>
          <w:rFonts w:asciiTheme="majorEastAsia" w:hAnsiTheme="majorEastAsia" w:eastAsiaTheme="majorEastAsia" w:cstheme="majorEastAsia"/>
        </w:rPr>
      </w:pPr>
    </w:p>
    <w:p w14:paraId="027B63D6">
      <w:pPr>
        <w:adjustRightInd w:val="0"/>
        <w:snapToGrid w:val="0"/>
        <w:jc w:val="center"/>
        <w:rPr>
          <w:rFonts w:asciiTheme="majorEastAsia" w:hAnsiTheme="majorEastAsia" w:eastAsiaTheme="majorEastAsia" w:cstheme="majorEastAsia"/>
          <w:sz w:val="96"/>
        </w:rPr>
      </w:pPr>
      <w:r>
        <w:rPr>
          <w:rFonts w:hint="eastAsia" w:asciiTheme="majorEastAsia" w:hAnsiTheme="majorEastAsia" w:eastAsiaTheme="majorEastAsia" w:cstheme="majorEastAsia"/>
          <w:sz w:val="96"/>
        </w:rPr>
        <w:t>比选申请文件</w:t>
      </w:r>
    </w:p>
    <w:p w14:paraId="45CF5B09">
      <w:pPr>
        <w:adjustRightInd w:val="0"/>
        <w:snapToGrid w:val="0"/>
        <w:spacing w:line="500" w:lineRule="exact"/>
        <w:jc w:val="center"/>
        <w:rPr>
          <w:rFonts w:asciiTheme="majorEastAsia" w:hAnsiTheme="majorEastAsia" w:eastAsiaTheme="majorEastAsia" w:cstheme="majorEastAsia"/>
          <w:b/>
          <w:sz w:val="36"/>
          <w:szCs w:val="36"/>
        </w:rPr>
      </w:pPr>
    </w:p>
    <w:p w14:paraId="1F4C9CF3">
      <w:pPr>
        <w:adjustRightInd w:val="0"/>
        <w:snapToGrid w:val="0"/>
        <w:spacing w:line="500" w:lineRule="exact"/>
        <w:rPr>
          <w:rFonts w:asciiTheme="majorEastAsia" w:hAnsiTheme="majorEastAsia" w:eastAsiaTheme="majorEastAsia" w:cstheme="majorEastAsia"/>
          <w:b/>
          <w:sz w:val="32"/>
        </w:rPr>
      </w:pPr>
    </w:p>
    <w:p w14:paraId="4897C9E3">
      <w:pPr>
        <w:adjustRightInd w:val="0"/>
        <w:snapToGrid w:val="0"/>
        <w:spacing w:line="500" w:lineRule="exact"/>
        <w:rPr>
          <w:rFonts w:asciiTheme="majorEastAsia" w:hAnsiTheme="majorEastAsia" w:eastAsiaTheme="majorEastAsia" w:cstheme="majorEastAsia"/>
          <w:b/>
          <w:sz w:val="32"/>
        </w:rPr>
      </w:pPr>
    </w:p>
    <w:p w14:paraId="322888B5">
      <w:pPr>
        <w:adjustRightInd w:val="0"/>
        <w:snapToGrid w:val="0"/>
        <w:spacing w:line="500" w:lineRule="exact"/>
        <w:rPr>
          <w:rFonts w:asciiTheme="majorEastAsia" w:hAnsiTheme="majorEastAsia" w:eastAsiaTheme="majorEastAsia" w:cstheme="majorEastAsia"/>
          <w:b/>
          <w:sz w:val="28"/>
          <w:szCs w:val="28"/>
        </w:rPr>
      </w:pPr>
    </w:p>
    <w:p w14:paraId="5482997D">
      <w:pPr>
        <w:adjustRightInd w:val="0"/>
        <w:snapToGrid w:val="0"/>
        <w:spacing w:line="500" w:lineRule="exact"/>
        <w:jc w:val="center"/>
        <w:rPr>
          <w:rFonts w:asciiTheme="majorEastAsia" w:hAnsiTheme="majorEastAsia" w:eastAsiaTheme="majorEastAsia" w:cstheme="majorEastAsia"/>
          <w:b/>
          <w:sz w:val="28"/>
          <w:szCs w:val="28"/>
        </w:rPr>
      </w:pPr>
    </w:p>
    <w:p w14:paraId="1B6B5F5E">
      <w:pPr>
        <w:rPr>
          <w:rFonts w:asciiTheme="majorEastAsia" w:hAnsiTheme="majorEastAsia" w:eastAsiaTheme="majorEastAsia" w:cstheme="majorEastAsia"/>
        </w:rPr>
      </w:pPr>
    </w:p>
    <w:p w14:paraId="7CCCDC22">
      <w:pPr>
        <w:pStyle w:val="19"/>
        <w:rPr>
          <w:rFonts w:asciiTheme="majorEastAsia" w:hAnsiTheme="majorEastAsia" w:eastAsiaTheme="majorEastAsia" w:cstheme="majorEastAsia"/>
        </w:rPr>
      </w:pPr>
    </w:p>
    <w:p w14:paraId="69CD59B0">
      <w:pPr>
        <w:rPr>
          <w:rFonts w:asciiTheme="majorEastAsia" w:hAnsiTheme="majorEastAsia" w:eastAsiaTheme="majorEastAsia" w:cstheme="majorEastAsia"/>
        </w:rPr>
      </w:pPr>
    </w:p>
    <w:p w14:paraId="6D8A307C">
      <w:pPr>
        <w:pStyle w:val="19"/>
        <w:rPr>
          <w:rFonts w:asciiTheme="majorEastAsia" w:hAnsiTheme="majorEastAsia" w:eastAsiaTheme="majorEastAsia" w:cstheme="majorEastAsia"/>
        </w:rPr>
      </w:pPr>
    </w:p>
    <w:p w14:paraId="6E023B8A">
      <w:pPr>
        <w:adjustRightInd w:val="0"/>
        <w:snapToGrid w:val="0"/>
        <w:spacing w:line="500" w:lineRule="exact"/>
        <w:jc w:val="center"/>
        <w:rPr>
          <w:rFonts w:asciiTheme="majorEastAsia" w:hAnsiTheme="majorEastAsia" w:eastAsiaTheme="majorEastAsia" w:cstheme="majorEastAsia"/>
          <w:sz w:val="32"/>
          <w:szCs w:val="30"/>
        </w:rPr>
      </w:pPr>
      <w:r>
        <w:rPr>
          <w:rFonts w:hint="eastAsia" w:asciiTheme="majorEastAsia" w:hAnsiTheme="majorEastAsia" w:eastAsiaTheme="majorEastAsia" w:cstheme="majorEastAsia"/>
          <w:sz w:val="32"/>
          <w:szCs w:val="30"/>
        </w:rPr>
        <w:t xml:space="preserve">  比选申请人:</w:t>
      </w:r>
      <w:r>
        <w:rPr>
          <w:rFonts w:hint="eastAsia" w:asciiTheme="majorEastAsia" w:hAnsiTheme="majorEastAsia" w:eastAsiaTheme="majorEastAsia" w:cstheme="majorEastAsia"/>
          <w:sz w:val="32"/>
          <w:szCs w:val="30"/>
          <w:u w:val="single"/>
        </w:rPr>
        <w:t xml:space="preserve">                       </w:t>
      </w:r>
      <w:r>
        <w:rPr>
          <w:rFonts w:hint="eastAsia" w:asciiTheme="majorEastAsia" w:hAnsiTheme="majorEastAsia" w:eastAsiaTheme="majorEastAsia" w:cstheme="majorEastAsia"/>
          <w:sz w:val="32"/>
          <w:szCs w:val="30"/>
        </w:rPr>
        <w:t>(盖单位公章)</w:t>
      </w:r>
    </w:p>
    <w:p w14:paraId="76386A8B">
      <w:pPr>
        <w:adjustRightInd w:val="0"/>
        <w:snapToGrid w:val="0"/>
        <w:spacing w:line="500" w:lineRule="exact"/>
        <w:rPr>
          <w:rFonts w:asciiTheme="majorEastAsia" w:hAnsiTheme="majorEastAsia" w:eastAsiaTheme="majorEastAsia" w:cstheme="majorEastAsia"/>
          <w:sz w:val="32"/>
          <w:szCs w:val="30"/>
        </w:rPr>
      </w:pPr>
    </w:p>
    <w:p w14:paraId="3AF9F063">
      <w:pPr>
        <w:adjustRightInd w:val="0"/>
        <w:snapToGrid w:val="0"/>
        <w:spacing w:line="276" w:lineRule="auto"/>
        <w:ind w:firstLine="1280" w:firstLineChars="400"/>
        <w:rPr>
          <w:rFonts w:asciiTheme="majorEastAsia" w:hAnsiTheme="majorEastAsia" w:eastAsiaTheme="majorEastAsia" w:cstheme="majorEastAsia"/>
          <w:sz w:val="32"/>
          <w:szCs w:val="30"/>
        </w:rPr>
      </w:pPr>
      <w:r>
        <w:rPr>
          <w:rFonts w:hint="eastAsia" w:asciiTheme="majorEastAsia" w:hAnsiTheme="majorEastAsia" w:eastAsiaTheme="majorEastAsia" w:cstheme="majorEastAsia"/>
          <w:sz w:val="32"/>
          <w:szCs w:val="30"/>
        </w:rPr>
        <w:t>法定代表人</w:t>
      </w:r>
      <w:r>
        <w:rPr>
          <w:rFonts w:hint="eastAsia" w:asciiTheme="majorEastAsia" w:hAnsiTheme="majorEastAsia" w:eastAsiaTheme="majorEastAsia" w:cstheme="majorEastAsia"/>
          <w:w w:val="99"/>
          <w:kern w:val="0"/>
          <w:sz w:val="32"/>
          <w:szCs w:val="30"/>
        </w:rPr>
        <w:t>或其委托代理人</w:t>
      </w:r>
      <w:r>
        <w:rPr>
          <w:rFonts w:hint="eastAsia" w:asciiTheme="majorEastAsia" w:hAnsiTheme="majorEastAsia" w:eastAsiaTheme="majorEastAsia" w:cstheme="majorEastAsia"/>
          <w:sz w:val="32"/>
          <w:szCs w:val="30"/>
        </w:rPr>
        <w:t>:</w:t>
      </w:r>
      <w:r>
        <w:rPr>
          <w:rFonts w:hint="eastAsia" w:asciiTheme="majorEastAsia" w:hAnsiTheme="majorEastAsia" w:eastAsiaTheme="majorEastAsia" w:cstheme="majorEastAsia"/>
          <w:sz w:val="32"/>
          <w:szCs w:val="30"/>
          <w:u w:val="single"/>
        </w:rPr>
        <w:t xml:space="preserve">             </w:t>
      </w:r>
      <w:r>
        <w:rPr>
          <w:rFonts w:hint="eastAsia" w:asciiTheme="majorEastAsia" w:hAnsiTheme="majorEastAsia" w:eastAsiaTheme="majorEastAsia" w:cstheme="majorEastAsia"/>
          <w:sz w:val="32"/>
          <w:szCs w:val="30"/>
        </w:rPr>
        <w:t>(签字或盖章)</w:t>
      </w:r>
    </w:p>
    <w:p w14:paraId="1D47B735">
      <w:pPr>
        <w:adjustRightInd w:val="0"/>
        <w:snapToGrid w:val="0"/>
        <w:spacing w:line="500" w:lineRule="exact"/>
        <w:jc w:val="center"/>
        <w:rPr>
          <w:rFonts w:asciiTheme="majorEastAsia" w:hAnsiTheme="majorEastAsia" w:eastAsiaTheme="majorEastAsia" w:cstheme="majorEastAsia"/>
          <w:sz w:val="30"/>
          <w:szCs w:val="30"/>
        </w:rPr>
      </w:pPr>
    </w:p>
    <w:p w14:paraId="5768DC37">
      <w:pPr>
        <w:autoSpaceDE w:val="0"/>
        <w:autoSpaceDN w:val="0"/>
        <w:adjustRightInd w:val="0"/>
        <w:spacing w:line="500" w:lineRule="exact"/>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年</w:t>
      </w: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月</w:t>
      </w: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日</w:t>
      </w:r>
    </w:p>
    <w:p w14:paraId="239C3C78">
      <w:pPr>
        <w:pStyle w:val="19"/>
      </w:pPr>
      <w:r>
        <w:br w:type="page"/>
      </w:r>
    </w:p>
    <w:p w14:paraId="5233EC06">
      <w:pPr>
        <w:pageBreakBefore/>
        <w:autoSpaceDE w:val="0"/>
        <w:autoSpaceDN w:val="0"/>
        <w:adjustRightInd w:val="0"/>
        <w:spacing w:line="500" w:lineRule="exact"/>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目  录</w:t>
      </w:r>
    </w:p>
    <w:p w14:paraId="46DB0EDB">
      <w:pPr>
        <w:autoSpaceDE w:val="0"/>
        <w:autoSpaceDN w:val="0"/>
        <w:adjustRightInd w:val="0"/>
        <w:spacing w:line="360" w:lineRule="auto"/>
        <w:rPr>
          <w:rFonts w:asciiTheme="majorEastAsia" w:hAnsiTheme="majorEastAsia" w:eastAsiaTheme="majorEastAsia" w:cstheme="majorEastAsia"/>
          <w:sz w:val="28"/>
          <w:szCs w:val="28"/>
        </w:rPr>
      </w:pPr>
    </w:p>
    <w:p w14:paraId="1E060ECD">
      <w:pPr>
        <w:autoSpaceDE w:val="0"/>
        <w:autoSpaceDN w:val="0"/>
        <w:adjustRightInd w:val="0"/>
        <w:spacing w:line="500" w:lineRule="exact"/>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(一)比选申请函</w:t>
      </w:r>
    </w:p>
    <w:p w14:paraId="0A83C329">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(二)法定代表人身份证明及授权委托书</w:t>
      </w:r>
    </w:p>
    <w:p w14:paraId="683B7003">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(三)比选申请人基本情况表</w:t>
      </w:r>
    </w:p>
    <w:p w14:paraId="7F17C10C">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(四)近年财务状况表</w:t>
      </w:r>
    </w:p>
    <w:p w14:paraId="5D489211">
      <w:pPr>
        <w:tabs>
          <w:tab w:val="left" w:pos="6147"/>
        </w:tabs>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(五)信誉要求</w:t>
      </w:r>
      <w:r>
        <w:rPr>
          <w:rFonts w:hint="eastAsia" w:asciiTheme="majorEastAsia" w:hAnsiTheme="majorEastAsia" w:eastAsiaTheme="majorEastAsia" w:cstheme="majorEastAsia"/>
          <w:sz w:val="24"/>
          <w:szCs w:val="32"/>
        </w:rPr>
        <w:tab/>
      </w:r>
    </w:p>
    <w:p w14:paraId="3EC268AF">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(六)其他资料（如有）</w:t>
      </w:r>
    </w:p>
    <w:p w14:paraId="6657C406">
      <w:pPr>
        <w:pStyle w:val="19"/>
        <w:rPr>
          <w:rFonts w:asciiTheme="majorEastAsia" w:hAnsiTheme="majorEastAsia" w:eastAsiaTheme="majorEastAsia" w:cstheme="majorEastAsia"/>
        </w:rPr>
      </w:pPr>
    </w:p>
    <w:p w14:paraId="2038DFDA">
      <w:pPr>
        <w:pStyle w:val="19"/>
        <w:ind w:firstLine="5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7E5DD85C">
      <w:pPr>
        <w:pStyle w:val="3"/>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一、比选申请函</w:t>
      </w:r>
    </w:p>
    <w:p w14:paraId="35F311F4">
      <w:pPr>
        <w:tabs>
          <w:tab w:val="left" w:pos="2655"/>
          <w:tab w:val="left" w:pos="3520"/>
          <w:tab w:val="left" w:pos="4920"/>
          <w:tab w:val="left" w:pos="5715"/>
          <w:tab w:val="left" w:pos="6945"/>
          <w:tab w:val="left" w:pos="7980"/>
        </w:tabs>
        <w:autoSpaceDE w:val="0"/>
        <w:autoSpaceDN w:val="0"/>
        <w:adjustRightInd w:val="0"/>
        <w:spacing w:line="440" w:lineRule="exact"/>
        <w:rPr>
          <w:rFonts w:asciiTheme="majorEastAsia" w:hAnsiTheme="majorEastAsia" w:eastAsiaTheme="majorEastAsia" w:cstheme="majorEastAsia"/>
          <w:snapToGrid w:val="0"/>
          <w:sz w:val="24"/>
          <w:szCs w:val="24"/>
          <w:u w:val="single"/>
        </w:rPr>
      </w:pPr>
      <w:bookmarkStart w:id="622" w:name="_Toc249770226"/>
      <w:r>
        <w:rPr>
          <w:rFonts w:hint="eastAsia" w:asciiTheme="majorEastAsia" w:hAnsiTheme="majorEastAsia" w:eastAsiaTheme="majorEastAsia" w:cstheme="majorEastAsia"/>
          <w:snapToGrid w:val="0"/>
          <w:sz w:val="24"/>
          <w:szCs w:val="24"/>
          <w:u w:val="single"/>
        </w:rPr>
        <w:t xml:space="preserve">                    (比选人):</w:t>
      </w:r>
    </w:p>
    <w:p w14:paraId="38784B5C">
      <w:pPr>
        <w:adjustRightInd w:val="0"/>
        <w:snapToGrid w:val="0"/>
        <w:spacing w:line="44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1.我方已仔细研究了</w:t>
      </w:r>
      <w:r>
        <w:rPr>
          <w:rFonts w:hint="eastAsia" w:asciiTheme="majorEastAsia" w:hAnsiTheme="majorEastAsia" w:eastAsiaTheme="majorEastAsia" w:cstheme="majorEastAsia"/>
          <w:sz w:val="24"/>
          <w:szCs w:val="24"/>
          <w:u w:val="single"/>
        </w:rPr>
        <w:t xml:space="preserve">           （项目名称）</w:t>
      </w:r>
      <w:r>
        <w:rPr>
          <w:rFonts w:hint="eastAsia" w:asciiTheme="majorEastAsia" w:hAnsiTheme="majorEastAsia" w:eastAsiaTheme="majorEastAsia" w:cstheme="majorEastAsia"/>
          <w:sz w:val="24"/>
          <w:szCs w:val="24"/>
        </w:rPr>
        <w:t>项目比选文件的全部内容，愿意以人民币(大写)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的不含税比选申请总报价，税率</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%，人民币(大写)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)的含税比选申请总报价按合同约定实施和完成项目，</w:t>
      </w:r>
      <w:r>
        <w:rPr>
          <w:rFonts w:hint="eastAsia" w:asciiTheme="majorEastAsia" w:hAnsiTheme="majorEastAsia" w:eastAsiaTheme="majorEastAsia" w:cstheme="majorEastAsia"/>
          <w:bCs/>
          <w:sz w:val="24"/>
          <w:szCs w:val="24"/>
        </w:rPr>
        <w:t>每台电梯包干维修含税比选申请报价为</w:t>
      </w:r>
      <w:r>
        <w:rPr>
          <w:rFonts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u w:val="single"/>
        </w:rPr>
        <w:t xml:space="preserve">     </w:t>
      </w:r>
      <w:r>
        <w:rPr>
          <w:rFonts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元</w:t>
      </w:r>
      <w:r>
        <w:rPr>
          <w:rFonts w:asciiTheme="majorEastAsia" w:hAnsiTheme="majorEastAsia" w:eastAsiaTheme="majorEastAsia" w:cstheme="majorEastAsia"/>
          <w:bCs/>
          <w:sz w:val="24"/>
          <w:szCs w:val="24"/>
        </w:rPr>
        <w:t>/月</w:t>
      </w:r>
      <w:r>
        <w:rPr>
          <w:rFonts w:hint="eastAsia" w:asciiTheme="majorEastAsia" w:hAnsiTheme="majorEastAsia" w:eastAsiaTheme="majorEastAsia" w:cstheme="majorEastAsia"/>
          <w:bCs/>
          <w:sz w:val="24"/>
          <w:szCs w:val="24"/>
        </w:rPr>
        <w:t>。</w:t>
      </w:r>
    </w:p>
    <w:p w14:paraId="511D33D9">
      <w:pPr>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2.为此，我方就以下内容分别做出承诺： </w:t>
      </w:r>
    </w:p>
    <w:p w14:paraId="038A7130">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⑴</w:t>
      </w:r>
      <w:r>
        <w:rPr>
          <w:rFonts w:hint="eastAsia" w:asciiTheme="majorEastAsia" w:hAnsiTheme="majorEastAsia" w:eastAsiaTheme="majorEastAsia" w:cstheme="majorEastAsia"/>
          <w:sz w:val="24"/>
          <w:szCs w:val="24"/>
        </w:rPr>
        <w:t>按比选文件前附表的要求，提供的全部比选申请文件；</w:t>
      </w:r>
    </w:p>
    <w:p w14:paraId="7F1606BA">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⑵</w:t>
      </w:r>
      <w:r>
        <w:rPr>
          <w:rFonts w:hint="eastAsia" w:asciiTheme="majorEastAsia" w:hAnsiTheme="majorEastAsia" w:eastAsiaTheme="majorEastAsia" w:cstheme="majorEastAsia"/>
          <w:sz w:val="24"/>
          <w:szCs w:val="24"/>
        </w:rPr>
        <w:t>我方已详细审查全部比选文件，包括修改文件（如果有）以及全部参考资料和有关附件，我们完全理解上述文件的内容并同意放弃对上述文件的内容有不明及误解的追究权利；</w:t>
      </w:r>
    </w:p>
    <w:p w14:paraId="243A9EE0">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⑶</w:t>
      </w:r>
      <w:r>
        <w:rPr>
          <w:rFonts w:hint="eastAsia" w:asciiTheme="majorEastAsia" w:hAnsiTheme="majorEastAsia" w:eastAsiaTheme="majorEastAsia" w:cstheme="majorEastAsia"/>
          <w:sz w:val="24"/>
          <w:szCs w:val="24"/>
        </w:rPr>
        <w:t>我方承诺我们的比选申请文件中有关资格资信的证明文件及相关陈述全部是真实的准确的，若有违背，我方将承担由此造成的一切后果；</w:t>
      </w:r>
    </w:p>
    <w:p w14:paraId="45C176BB">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⑷</w:t>
      </w:r>
      <w:r>
        <w:rPr>
          <w:rFonts w:hint="eastAsia" w:asciiTheme="majorEastAsia" w:hAnsiTheme="majorEastAsia" w:eastAsiaTheme="majorEastAsia" w:cstheme="majorEastAsia"/>
          <w:sz w:val="24"/>
          <w:szCs w:val="24"/>
        </w:rPr>
        <w:t>如果我方中选，我方保证在比选人规定时间内相关服务满足比选文件要求；</w:t>
      </w:r>
    </w:p>
    <w:p w14:paraId="6574813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⑸</w:t>
      </w:r>
      <w:r>
        <w:rPr>
          <w:rFonts w:hint="eastAsia" w:asciiTheme="majorEastAsia" w:hAnsiTheme="majorEastAsia" w:eastAsiaTheme="majorEastAsia" w:cstheme="majorEastAsia"/>
          <w:sz w:val="24"/>
          <w:szCs w:val="24"/>
        </w:rPr>
        <w:t>如果我们中选，我们将在签订合同前按比选文件要求提供履约保证金，并保证忠实地执行买卖双方所签的经济合同，承担合同规定的责任和义务；</w:t>
      </w:r>
    </w:p>
    <w:p w14:paraId="319A188A">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⑹</w:t>
      </w:r>
      <w:r>
        <w:rPr>
          <w:rFonts w:hint="eastAsia" w:asciiTheme="majorEastAsia" w:hAnsiTheme="majorEastAsia" w:eastAsiaTheme="majorEastAsia" w:cstheme="majorEastAsia"/>
          <w:sz w:val="24"/>
          <w:szCs w:val="24"/>
        </w:rPr>
        <w:t>我方的比选申请有效期为：自开启比选申请文件之日起</w:t>
      </w:r>
      <w:r>
        <w:rPr>
          <w:rFonts w:hint="eastAsia" w:asciiTheme="majorEastAsia" w:hAnsiTheme="majorEastAsia" w:eastAsiaTheme="majorEastAsia" w:cstheme="majorEastAsia"/>
          <w:sz w:val="24"/>
          <w:szCs w:val="24"/>
          <w:u w:val="single"/>
        </w:rPr>
        <w:t xml:space="preserve"> 90</w:t>
      </w:r>
      <w:r>
        <w:rPr>
          <w:rFonts w:hint="eastAsia" w:asciiTheme="majorEastAsia" w:hAnsiTheme="majorEastAsia" w:eastAsiaTheme="majorEastAsia" w:cstheme="majorEastAsia"/>
          <w:sz w:val="24"/>
          <w:szCs w:val="24"/>
        </w:rPr>
        <w:t>个日历日；</w:t>
      </w:r>
    </w:p>
    <w:p w14:paraId="6449EA7C">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⑺</w:t>
      </w:r>
      <w:r>
        <w:rPr>
          <w:rFonts w:hint="eastAsia" w:asciiTheme="majorEastAsia" w:hAnsiTheme="majorEastAsia" w:eastAsiaTheme="majorEastAsia" w:cstheme="majorEastAsia"/>
          <w:sz w:val="24"/>
          <w:szCs w:val="24"/>
        </w:rPr>
        <w:t>若我方中选，我方将按比选文件的规定履行合同责任和义务；</w:t>
      </w:r>
    </w:p>
    <w:p w14:paraId="53C95E4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⑻</w:t>
      </w:r>
      <w:r>
        <w:rPr>
          <w:rFonts w:hint="eastAsia" w:asciiTheme="majorEastAsia" w:hAnsiTheme="majorEastAsia" w:eastAsiaTheme="majorEastAsia" w:cstheme="majorEastAsia"/>
          <w:sz w:val="24"/>
          <w:szCs w:val="24"/>
        </w:rPr>
        <w:t>若我方中选，我方将接受比选人的相关管理要求；</w:t>
      </w:r>
    </w:p>
    <w:p w14:paraId="05B751AD">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⑼</w:t>
      </w:r>
      <w:r>
        <w:rPr>
          <w:rFonts w:hint="eastAsia" w:asciiTheme="majorEastAsia" w:hAnsiTheme="majorEastAsia" w:eastAsiaTheme="majorEastAsia" w:cstheme="majorEastAsia"/>
          <w:sz w:val="24"/>
          <w:szCs w:val="24"/>
        </w:rPr>
        <w:t>如果在比选申请截止后，我方在比选申请有效期内撤回比选申请文件，同意贵方不退还我方的比选申请保证金；</w:t>
      </w:r>
    </w:p>
    <w:p w14:paraId="2CFCE970">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⑽</w:t>
      </w:r>
      <w:r>
        <w:rPr>
          <w:rFonts w:hint="eastAsia" w:asciiTheme="majorEastAsia" w:hAnsiTheme="majorEastAsia" w:eastAsiaTheme="majorEastAsia" w:cstheme="majorEastAsia"/>
          <w:sz w:val="24"/>
          <w:szCs w:val="24"/>
        </w:rPr>
        <w:t>若我方中选，我方将严格按照比选人的要求进行人员配置。</w:t>
      </w:r>
    </w:p>
    <w:p w14:paraId="40E23D1E">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3.我方在此声明，所递交的比选申请文件及有关资料内容完整、真实和准确，且不存在第二章“比选申请人须知”第1.4.3项规定的任何一种情形。</w:t>
      </w:r>
    </w:p>
    <w:p w14:paraId="5AFB9D80">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（其他补充说明）。</w:t>
      </w:r>
    </w:p>
    <w:p w14:paraId="15C25651">
      <w:pPr>
        <w:pStyle w:val="19"/>
        <w:rPr>
          <w:rFonts w:asciiTheme="majorEastAsia" w:hAnsiTheme="majorEastAsia" w:eastAsiaTheme="majorEastAsia" w:cstheme="majorEastAsia"/>
          <w:sz w:val="24"/>
          <w:szCs w:val="24"/>
        </w:rPr>
      </w:pPr>
    </w:p>
    <w:p w14:paraId="2B740C4A">
      <w:pPr>
        <w:rPr>
          <w:rFonts w:asciiTheme="majorEastAsia" w:hAnsiTheme="majorEastAsia" w:eastAsiaTheme="majorEastAsia" w:cstheme="majorEastAsia"/>
          <w:sz w:val="24"/>
          <w:szCs w:val="24"/>
        </w:rPr>
      </w:pPr>
    </w:p>
    <w:p w14:paraId="0E82DEA9">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比选申请人：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（盖单位章）</w:t>
      </w:r>
    </w:p>
    <w:p w14:paraId="6E2B7509">
      <w:pPr>
        <w:spacing w:line="40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14:paraId="656A0965">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14:paraId="2FF6D00A">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网址：</w:t>
      </w:r>
      <w:r>
        <w:rPr>
          <w:rFonts w:hint="eastAsia" w:asciiTheme="majorEastAsia" w:hAnsiTheme="majorEastAsia" w:eastAsiaTheme="majorEastAsia" w:cstheme="majorEastAsia"/>
          <w:sz w:val="24"/>
          <w:szCs w:val="24"/>
          <w:u w:val="single"/>
        </w:rPr>
        <w:t xml:space="preserve">                            </w:t>
      </w:r>
    </w:p>
    <w:p w14:paraId="713A5AEB">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w:t>
      </w:r>
      <w:r>
        <w:rPr>
          <w:rFonts w:hint="eastAsia" w:asciiTheme="majorEastAsia" w:hAnsiTheme="majorEastAsia" w:eastAsiaTheme="majorEastAsia" w:cstheme="majorEastAsia"/>
          <w:sz w:val="24"/>
          <w:szCs w:val="24"/>
          <w:u w:val="single"/>
        </w:rPr>
        <w:t xml:space="preserve">                            </w:t>
      </w:r>
    </w:p>
    <w:p w14:paraId="56C2B08C">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r>
        <w:rPr>
          <w:rFonts w:hint="eastAsia" w:asciiTheme="majorEastAsia" w:hAnsiTheme="majorEastAsia" w:eastAsiaTheme="majorEastAsia" w:cstheme="majorEastAsia"/>
          <w:sz w:val="24"/>
          <w:szCs w:val="24"/>
          <w:u w:val="single"/>
        </w:rPr>
        <w:t xml:space="preserve">                            </w:t>
      </w:r>
    </w:p>
    <w:p w14:paraId="34F45A53">
      <w:pPr>
        <w:spacing w:line="400" w:lineRule="exact"/>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邮政编码：</w:t>
      </w:r>
      <w:r>
        <w:rPr>
          <w:rFonts w:hint="eastAsia" w:asciiTheme="majorEastAsia" w:hAnsiTheme="majorEastAsia" w:eastAsiaTheme="majorEastAsia" w:cstheme="majorEastAsia"/>
          <w:sz w:val="24"/>
          <w:szCs w:val="24"/>
          <w:u w:val="single"/>
        </w:rPr>
        <w:t xml:space="preserve">                            </w:t>
      </w:r>
    </w:p>
    <w:p w14:paraId="491413EB">
      <w:pPr>
        <w:spacing w:line="400" w:lineRule="exact"/>
        <w:ind w:firstLine="3120" w:firstLineChars="1300"/>
        <w:jc w:val="righ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z w:val="24"/>
          <w:szCs w:val="24"/>
        </w:rPr>
        <w:t>年  月  日</w:t>
      </w:r>
      <w:r>
        <w:rPr>
          <w:rFonts w:hint="eastAsia" w:asciiTheme="majorEastAsia" w:hAnsiTheme="majorEastAsia" w:eastAsiaTheme="majorEastAsia" w:cstheme="majorEastAsia"/>
          <w:snapToGrid w:val="0"/>
          <w:kern w:val="0"/>
          <w:szCs w:val="21"/>
        </w:rPr>
        <w:br w:type="page"/>
      </w:r>
    </w:p>
    <w:bookmarkEnd w:id="622"/>
    <w:p w14:paraId="4FDE85D3">
      <w:pPr>
        <w:pStyle w:val="3"/>
        <w:jc w:val="center"/>
        <w:rPr>
          <w:rFonts w:asciiTheme="majorEastAsia" w:hAnsiTheme="majorEastAsia" w:eastAsiaTheme="majorEastAsia" w:cstheme="majorEastAsia"/>
          <w:szCs w:val="22"/>
        </w:rPr>
      </w:pPr>
      <w:bookmarkStart w:id="623" w:name="_Toc2174"/>
      <w:bookmarkStart w:id="624" w:name="_Toc17493"/>
      <w:bookmarkStart w:id="625" w:name="_Toc31455"/>
      <w:bookmarkStart w:id="626" w:name="_Toc16070"/>
      <w:bookmarkStart w:id="627" w:name="_Toc2955720"/>
      <w:r>
        <w:rPr>
          <w:rFonts w:hint="eastAsia" w:asciiTheme="majorEastAsia" w:hAnsiTheme="majorEastAsia" w:eastAsiaTheme="majorEastAsia" w:cstheme="majorEastAsia"/>
          <w:szCs w:val="22"/>
        </w:rPr>
        <w:t>二</w:t>
      </w:r>
      <w:bookmarkStart w:id="628" w:name="_Toc1725768"/>
      <w:bookmarkStart w:id="629" w:name="_Toc1725856"/>
      <w:r>
        <w:rPr>
          <w:rFonts w:hint="eastAsia" w:asciiTheme="majorEastAsia" w:hAnsiTheme="majorEastAsia" w:eastAsiaTheme="majorEastAsia" w:cstheme="majorEastAsia"/>
          <w:szCs w:val="22"/>
        </w:rPr>
        <w:t>、法定代表人身份证明及授权委托书</w:t>
      </w:r>
      <w:bookmarkEnd w:id="623"/>
      <w:bookmarkEnd w:id="624"/>
      <w:bookmarkEnd w:id="625"/>
      <w:bookmarkEnd w:id="626"/>
      <w:bookmarkEnd w:id="628"/>
      <w:bookmarkEnd w:id="629"/>
    </w:p>
    <w:p w14:paraId="5C1E4EE8">
      <w:pPr>
        <w:tabs>
          <w:tab w:val="left" w:pos="5760"/>
        </w:tabs>
        <w:autoSpaceDE w:val="0"/>
        <w:autoSpaceDN w:val="0"/>
        <w:adjustRightInd w:val="0"/>
        <w:spacing w:line="300" w:lineRule="exact"/>
        <w:ind w:left="919" w:leftChars="253" w:right="11" w:hanging="388" w:hangingChars="138"/>
        <w:jc w:val="center"/>
        <w:rPr>
          <w:rFonts w:asciiTheme="majorEastAsia" w:hAnsiTheme="majorEastAsia" w:eastAsiaTheme="majorEastAsia" w:cstheme="majorEastAsia"/>
          <w:b/>
          <w:bCs/>
          <w:snapToGrid w:val="0"/>
          <w:kern w:val="32"/>
          <w:sz w:val="28"/>
          <w:szCs w:val="28"/>
        </w:rPr>
      </w:pPr>
      <w:r>
        <w:rPr>
          <w:rFonts w:hint="eastAsia" w:asciiTheme="majorEastAsia" w:hAnsiTheme="majorEastAsia" w:eastAsiaTheme="majorEastAsia" w:cstheme="majorEastAsia"/>
          <w:b/>
          <w:bCs/>
          <w:snapToGrid w:val="0"/>
          <w:kern w:val="32"/>
          <w:sz w:val="28"/>
          <w:szCs w:val="28"/>
        </w:rPr>
        <w:t>法定代表人身份证明</w:t>
      </w:r>
    </w:p>
    <w:p w14:paraId="7F8BC17E">
      <w:pPr>
        <w:jc w:val="center"/>
        <w:rPr>
          <w:rFonts w:asciiTheme="majorEastAsia" w:hAnsiTheme="majorEastAsia" w:eastAsiaTheme="majorEastAsia" w:cstheme="majorEastAsia"/>
          <w:b/>
          <w:bCs/>
          <w:snapToGrid w:val="0"/>
          <w:kern w:val="0"/>
          <w:szCs w:val="21"/>
        </w:rPr>
      </w:pPr>
    </w:p>
    <w:p w14:paraId="52FB45EA">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比选申请人名称：</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4FD4F0E4">
      <w:pPr>
        <w:ind w:firstLine="420" w:firstLineChars="200"/>
        <w:rPr>
          <w:rFonts w:asciiTheme="majorEastAsia" w:hAnsiTheme="majorEastAsia" w:eastAsiaTheme="majorEastAsia" w:cstheme="majorEastAsia"/>
          <w:szCs w:val="21"/>
          <w:u w:val="single"/>
        </w:rPr>
      </w:pPr>
    </w:p>
    <w:p w14:paraId="2473529A">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单位性质：</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400A6E8F">
      <w:pPr>
        <w:ind w:firstLine="420" w:firstLineChars="200"/>
        <w:rPr>
          <w:rFonts w:asciiTheme="majorEastAsia" w:hAnsiTheme="majorEastAsia" w:eastAsiaTheme="majorEastAsia" w:cstheme="majorEastAsia"/>
          <w:szCs w:val="21"/>
        </w:rPr>
      </w:pPr>
    </w:p>
    <w:p w14:paraId="1AF7B646">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2898EBBB">
      <w:pPr>
        <w:ind w:firstLine="420" w:firstLineChars="200"/>
        <w:rPr>
          <w:rFonts w:asciiTheme="majorEastAsia" w:hAnsiTheme="majorEastAsia" w:eastAsiaTheme="majorEastAsia" w:cstheme="majorEastAsia"/>
          <w:szCs w:val="21"/>
          <w:u w:val="single"/>
        </w:rPr>
      </w:pPr>
    </w:p>
    <w:p w14:paraId="3EFFFD2A">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成立时间：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14:paraId="752DD621">
      <w:pPr>
        <w:ind w:firstLine="420" w:firstLineChars="200"/>
        <w:rPr>
          <w:rFonts w:asciiTheme="majorEastAsia" w:hAnsiTheme="majorEastAsia" w:eastAsiaTheme="majorEastAsia" w:cstheme="majorEastAsia"/>
          <w:szCs w:val="21"/>
        </w:rPr>
      </w:pPr>
    </w:p>
    <w:p w14:paraId="52B243BB">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姓    名：</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rPr>
        <w:tab/>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性别：</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职务：</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3D02E4DD">
      <w:pPr>
        <w:rPr>
          <w:rFonts w:asciiTheme="majorEastAsia" w:hAnsiTheme="majorEastAsia" w:eastAsiaTheme="majorEastAsia" w:cstheme="majorEastAsia"/>
          <w:szCs w:val="21"/>
        </w:rPr>
      </w:pPr>
    </w:p>
    <w:p w14:paraId="4CF4EA0B">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w:t>
      </w:r>
      <w:r>
        <w:rPr>
          <w:rFonts w:hint="eastAsia" w:asciiTheme="majorEastAsia" w:hAnsiTheme="majorEastAsia" w:eastAsiaTheme="majorEastAsia" w:cstheme="majorEastAsia"/>
          <w:szCs w:val="21"/>
          <w:u w:val="single"/>
        </w:rPr>
        <w:t xml:space="preserve">                   （比选申请人名称）             </w:t>
      </w:r>
      <w:r>
        <w:rPr>
          <w:rFonts w:hint="eastAsia" w:asciiTheme="majorEastAsia" w:hAnsiTheme="majorEastAsia" w:eastAsiaTheme="majorEastAsia" w:cstheme="majorEastAsia"/>
          <w:szCs w:val="21"/>
        </w:rPr>
        <w:t>的法定代表人。</w:t>
      </w:r>
    </w:p>
    <w:p w14:paraId="4491284B">
      <w:pPr>
        <w:rPr>
          <w:rFonts w:asciiTheme="majorEastAsia" w:hAnsiTheme="majorEastAsia" w:eastAsiaTheme="majorEastAsia" w:cstheme="majorEastAsia"/>
          <w:szCs w:val="21"/>
        </w:rPr>
      </w:pPr>
    </w:p>
    <w:p w14:paraId="14F1C34A">
      <w:pPr>
        <w:ind w:firstLine="1050" w:firstLineChars="5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特此证明。</w:t>
      </w:r>
    </w:p>
    <w:p w14:paraId="29B07E6F">
      <w:pPr>
        <w:rPr>
          <w:rFonts w:asciiTheme="majorEastAsia" w:hAnsiTheme="majorEastAsia" w:eastAsiaTheme="majorEastAsia" w:cstheme="majorEastAsia"/>
          <w:snapToGrid w:val="0"/>
          <w:kern w:val="0"/>
          <w:sz w:val="24"/>
        </w:rPr>
      </w:pPr>
      <w:r>
        <w:rPr>
          <w:rFonts w:hint="eastAsia" w:asciiTheme="majorEastAsia" w:hAnsiTheme="majorEastAsia" w:eastAsiaTheme="majorEastAsia" w:cstheme="majorEastAsia"/>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667FCE4E">
                            <w:pPr>
                              <w:jc w:val="center"/>
                            </w:pPr>
                          </w:p>
                          <w:p w14:paraId="54A9CD31">
                            <w:pPr>
                              <w:jc w:val="center"/>
                            </w:pPr>
                            <w:r>
                              <w:rPr>
                                <w:rFonts w:hint="eastAsia"/>
                              </w:rPr>
                              <w:t>法定代表人身份证复印件</w:t>
                            </w:r>
                          </w:p>
                          <w:p w14:paraId="24C0A8B2">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1312;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FA3IDtiAgAAowQAAA4AAAAAAAAAAQAgAAAAJgEAAGRycy9lMm9Eb2MueG1sUEsFBgAA&#10;AAAGAAYAWQEAAPoFAAAAAA==&#10;">
                <v:fill on="t" focussize="0,0"/>
                <v:stroke color="#000000" miterlimit="8" joinstyle="miter"/>
                <v:imagedata o:title=""/>
                <o:lock v:ext="edit" aspectratio="f"/>
                <v:textbox>
                  <w:txbxContent>
                    <w:p w14:paraId="667FCE4E">
                      <w:pPr>
                        <w:jc w:val="center"/>
                      </w:pPr>
                    </w:p>
                    <w:p w14:paraId="54A9CD31">
                      <w:pPr>
                        <w:jc w:val="center"/>
                      </w:pPr>
                      <w:r>
                        <w:rPr>
                          <w:rFonts w:hint="eastAsia"/>
                        </w:rPr>
                        <w:t>法定代表人身份证复印件</w:t>
                      </w:r>
                    </w:p>
                    <w:p w14:paraId="24C0A8B2">
                      <w:pPr>
                        <w:jc w:val="center"/>
                      </w:pPr>
                      <w:r>
                        <w:rPr>
                          <w:rFonts w:hint="eastAsia"/>
                        </w:rPr>
                        <w:t>（公民身份信息面）</w:t>
                      </w:r>
                    </w:p>
                  </w:txbxContent>
                </v:textbox>
              </v:shape>
            </w:pict>
          </mc:Fallback>
        </mc:AlternateContent>
      </w:r>
      <w:r>
        <w:rPr>
          <w:rFonts w:hint="eastAsia" w:asciiTheme="majorEastAsia" w:hAnsiTheme="majorEastAsia" w:eastAsiaTheme="majorEastAsia" w:cstheme="majorEastAsia"/>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617B6E4F">
                            <w:pPr>
                              <w:jc w:val="center"/>
                            </w:pPr>
                          </w:p>
                          <w:p w14:paraId="5C041993">
                            <w:pPr>
                              <w:jc w:val="center"/>
                            </w:pPr>
                            <w:r>
                              <w:rPr>
                                <w:rFonts w:hint="eastAsia"/>
                              </w:rPr>
                              <w:t>法定代表人身份证复印件</w:t>
                            </w:r>
                          </w:p>
                          <w:p w14:paraId="59AC5AC6">
                            <w:pPr>
                              <w:jc w:val="center"/>
                            </w:pPr>
                            <w:r>
                              <w:rPr>
                                <w:rFonts w:hint="eastAsia"/>
                              </w:rPr>
                              <w:t>（签发单位面）</w:t>
                            </w:r>
                          </w:p>
                          <w:p w14:paraId="112903E9">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2336;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BAiH2UYgIAAKMEAAAOAAAAAAAAAAEAIAAAACcBAABkcnMvZTJvRG9jLnhtbFBLBQYA&#10;AAAABgAGAFkBAAD7BQAAAAA=&#10;">
                <v:fill on="t" focussize="0,0"/>
                <v:stroke color="#000000" miterlimit="8" joinstyle="miter"/>
                <v:imagedata o:title=""/>
                <o:lock v:ext="edit" aspectratio="f"/>
                <v:textbox>
                  <w:txbxContent>
                    <w:p w14:paraId="617B6E4F">
                      <w:pPr>
                        <w:jc w:val="center"/>
                      </w:pPr>
                    </w:p>
                    <w:p w14:paraId="5C041993">
                      <w:pPr>
                        <w:jc w:val="center"/>
                      </w:pPr>
                      <w:r>
                        <w:rPr>
                          <w:rFonts w:hint="eastAsia"/>
                        </w:rPr>
                        <w:t>法定代表人身份证复印件</w:t>
                      </w:r>
                    </w:p>
                    <w:p w14:paraId="59AC5AC6">
                      <w:pPr>
                        <w:jc w:val="center"/>
                      </w:pPr>
                      <w:r>
                        <w:rPr>
                          <w:rFonts w:hint="eastAsia"/>
                        </w:rPr>
                        <w:t>（签发单位面）</w:t>
                      </w:r>
                    </w:p>
                    <w:p w14:paraId="112903E9">
                      <w:pPr>
                        <w:jc w:val="center"/>
                      </w:pPr>
                    </w:p>
                  </w:txbxContent>
                </v:textbox>
              </v:shape>
            </w:pict>
          </mc:Fallback>
        </mc:AlternateContent>
      </w:r>
    </w:p>
    <w:p w14:paraId="40B80059">
      <w:pPr>
        <w:rPr>
          <w:rFonts w:asciiTheme="majorEastAsia" w:hAnsiTheme="majorEastAsia" w:eastAsiaTheme="majorEastAsia" w:cstheme="majorEastAsia"/>
        </w:rPr>
      </w:pPr>
    </w:p>
    <w:p w14:paraId="5346CD71">
      <w:pPr>
        <w:rPr>
          <w:rFonts w:asciiTheme="majorEastAsia" w:hAnsiTheme="majorEastAsia" w:eastAsiaTheme="majorEastAsia" w:cstheme="majorEastAsia"/>
        </w:rPr>
      </w:pPr>
    </w:p>
    <w:p w14:paraId="667448EA">
      <w:pPr>
        <w:rPr>
          <w:rFonts w:asciiTheme="majorEastAsia" w:hAnsiTheme="majorEastAsia" w:eastAsiaTheme="majorEastAsia" w:cstheme="majorEastAsia"/>
        </w:rPr>
      </w:pPr>
    </w:p>
    <w:p w14:paraId="1D0FBE31">
      <w:pPr>
        <w:rPr>
          <w:rFonts w:asciiTheme="majorEastAsia" w:hAnsiTheme="majorEastAsia" w:eastAsiaTheme="majorEastAsia" w:cstheme="majorEastAsia"/>
        </w:rPr>
      </w:pPr>
    </w:p>
    <w:p w14:paraId="20AFAF01">
      <w:pPr>
        <w:rPr>
          <w:rFonts w:asciiTheme="majorEastAsia" w:hAnsiTheme="majorEastAsia" w:eastAsiaTheme="majorEastAsia" w:cstheme="majorEastAsia"/>
        </w:rPr>
      </w:pPr>
    </w:p>
    <w:p w14:paraId="50182FDE">
      <w:pPr>
        <w:rPr>
          <w:rFonts w:asciiTheme="majorEastAsia" w:hAnsiTheme="majorEastAsia" w:eastAsiaTheme="majorEastAsia" w:cstheme="majorEastAsia"/>
        </w:rPr>
      </w:pPr>
    </w:p>
    <w:p w14:paraId="44BCB24B">
      <w:pPr>
        <w:rPr>
          <w:rFonts w:asciiTheme="majorEastAsia" w:hAnsiTheme="majorEastAsia" w:eastAsiaTheme="majorEastAsia" w:cstheme="majorEastAsia"/>
        </w:rPr>
      </w:pPr>
    </w:p>
    <w:p w14:paraId="0CC2314E">
      <w:pPr>
        <w:rPr>
          <w:rFonts w:asciiTheme="majorEastAsia" w:hAnsiTheme="majorEastAsia" w:eastAsiaTheme="majorEastAsia" w:cstheme="majorEastAsia"/>
        </w:rPr>
      </w:pPr>
    </w:p>
    <w:p w14:paraId="1CE20968">
      <w:pPr>
        <w:rPr>
          <w:rFonts w:asciiTheme="majorEastAsia" w:hAnsiTheme="majorEastAsia" w:eastAsiaTheme="majorEastAsia" w:cstheme="majorEastAsia"/>
        </w:rPr>
      </w:pPr>
    </w:p>
    <w:p w14:paraId="67E4B483">
      <w:pPr>
        <w:tabs>
          <w:tab w:val="left" w:pos="4200"/>
          <w:tab w:val="left" w:pos="4620"/>
        </w:tabs>
        <w:autoSpaceDE w:val="0"/>
        <w:autoSpaceDN w:val="0"/>
        <w:adjustRightInd w:val="0"/>
        <w:snapToGrid w:val="0"/>
        <w:spacing w:line="360" w:lineRule="auto"/>
        <w:ind w:firstLine="1694"/>
        <w:jc w:val="left"/>
        <w:rPr>
          <w:rFonts w:asciiTheme="majorEastAsia" w:hAnsiTheme="majorEastAsia" w:eastAsiaTheme="majorEastAsia" w:cstheme="majorEastAsia"/>
          <w:kern w:val="0"/>
          <w:szCs w:val="21"/>
        </w:rPr>
      </w:pPr>
    </w:p>
    <w:p w14:paraId="61CD9749">
      <w:pPr>
        <w:ind w:firstLine="3150" w:firstLineChars="15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比选申请人：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（盖单位公章）</w:t>
      </w:r>
    </w:p>
    <w:p w14:paraId="051F6EA8">
      <w:pPr>
        <w:ind w:firstLine="420" w:firstLineChars="200"/>
        <w:rPr>
          <w:rFonts w:asciiTheme="majorEastAsia" w:hAnsiTheme="majorEastAsia" w:eastAsiaTheme="majorEastAsia" w:cstheme="majorEastAsia"/>
          <w:szCs w:val="21"/>
        </w:rPr>
      </w:pPr>
    </w:p>
    <w:p w14:paraId="4070864B">
      <w:pPr>
        <w:ind w:firstLine="3968" w:firstLineChars="189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14:paraId="168AFFD3">
      <w:pPr>
        <w:autoSpaceDE w:val="0"/>
        <w:autoSpaceDN w:val="0"/>
        <w:jc w:val="left"/>
        <w:rPr>
          <w:rFonts w:asciiTheme="majorEastAsia" w:hAnsiTheme="majorEastAsia" w:eastAsiaTheme="majorEastAsia" w:cstheme="majorEastAsia"/>
          <w:kern w:val="0"/>
          <w:sz w:val="22"/>
        </w:rPr>
      </w:pPr>
    </w:p>
    <w:p w14:paraId="4F29D87C">
      <w:pPr>
        <w:autoSpaceDE w:val="0"/>
        <w:autoSpaceDN w:val="0"/>
        <w:spacing w:after="120"/>
        <w:jc w:val="left"/>
        <w:rPr>
          <w:rFonts w:asciiTheme="majorEastAsia" w:hAnsiTheme="majorEastAsia" w:eastAsiaTheme="majorEastAsia" w:cstheme="majorEastAsia"/>
          <w:kern w:val="0"/>
          <w:sz w:val="22"/>
        </w:rPr>
      </w:pPr>
    </w:p>
    <w:p w14:paraId="5DD0682C">
      <w:pPr>
        <w:autoSpaceDE w:val="0"/>
        <w:autoSpaceDN w:val="0"/>
        <w:spacing w:after="120"/>
        <w:jc w:val="left"/>
        <w:rPr>
          <w:rFonts w:asciiTheme="majorEastAsia" w:hAnsiTheme="majorEastAsia" w:eastAsiaTheme="majorEastAsia" w:cstheme="majorEastAsia"/>
          <w:kern w:val="0"/>
          <w:sz w:val="22"/>
        </w:rPr>
      </w:pPr>
    </w:p>
    <w:p w14:paraId="6DC6F10F">
      <w:pPr>
        <w:autoSpaceDE w:val="0"/>
        <w:autoSpaceDN w:val="0"/>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注：法定代表人身份证明需按上述格式填写完整，不可缺少内容。在此基础上增加内容的不影响其有效性。</w:t>
      </w:r>
    </w:p>
    <w:p w14:paraId="6AEBA2AB">
      <w:pPr>
        <w:autoSpaceDE w:val="0"/>
        <w:autoSpaceDN w:val="0"/>
        <w:spacing w:after="120"/>
        <w:jc w:val="center"/>
        <w:rPr>
          <w:rFonts w:asciiTheme="majorEastAsia" w:hAnsiTheme="majorEastAsia" w:eastAsiaTheme="majorEastAsia" w:cstheme="majorEastAsia"/>
          <w:b/>
          <w:kern w:val="0"/>
          <w:sz w:val="32"/>
        </w:rPr>
      </w:pPr>
      <w:bookmarkStart w:id="630" w:name="_bookmark158"/>
      <w:bookmarkEnd w:id="630"/>
      <w:r>
        <w:rPr>
          <w:rFonts w:hint="eastAsia" w:asciiTheme="majorEastAsia" w:hAnsiTheme="majorEastAsia" w:eastAsiaTheme="majorEastAsia" w:cstheme="majorEastAsia"/>
          <w:b/>
          <w:kern w:val="0"/>
          <w:szCs w:val="21"/>
        </w:rPr>
        <w:br w:type="page"/>
      </w:r>
      <w:r>
        <w:rPr>
          <w:rFonts w:hint="eastAsia" w:asciiTheme="majorEastAsia" w:hAnsiTheme="majorEastAsia" w:eastAsiaTheme="majorEastAsia" w:cstheme="majorEastAsia"/>
          <w:b/>
          <w:kern w:val="0"/>
          <w:sz w:val="24"/>
        </w:rPr>
        <w:t>授权委托书</w:t>
      </w:r>
    </w:p>
    <w:p w14:paraId="730AEA1E">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本人</w:t>
      </w:r>
      <w:r>
        <w:rPr>
          <w:rFonts w:hint="eastAsia" w:asciiTheme="majorEastAsia" w:hAnsiTheme="majorEastAsia" w:eastAsiaTheme="majorEastAsia" w:cstheme="majorEastAsia"/>
          <w:kern w:val="0"/>
          <w:szCs w:val="21"/>
          <w:u w:val="single"/>
        </w:rPr>
        <w:t xml:space="preserve">   （姓名）   </w:t>
      </w:r>
      <w:r>
        <w:rPr>
          <w:rFonts w:hint="eastAsia" w:asciiTheme="majorEastAsia" w:hAnsiTheme="majorEastAsia" w:eastAsiaTheme="majorEastAsia" w:cstheme="majorEastAsia"/>
          <w:kern w:val="0"/>
          <w:szCs w:val="21"/>
        </w:rPr>
        <w:t>系</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w:t>
      </w:r>
      <w:r>
        <w:rPr>
          <w:rFonts w:hint="eastAsia" w:asciiTheme="majorEastAsia" w:hAnsiTheme="majorEastAsia" w:eastAsiaTheme="majorEastAsia" w:cstheme="majorEastAsia"/>
          <w:spacing w:val="-1"/>
          <w:kern w:val="0"/>
          <w:szCs w:val="21"/>
          <w:u w:val="single"/>
        </w:rPr>
        <w:t>比选申请</w:t>
      </w:r>
      <w:r>
        <w:rPr>
          <w:rFonts w:hint="eastAsia" w:asciiTheme="majorEastAsia" w:hAnsiTheme="majorEastAsia" w:eastAsiaTheme="majorEastAsia" w:cstheme="majorEastAsia"/>
          <w:kern w:val="0"/>
          <w:szCs w:val="21"/>
          <w:u w:val="single"/>
        </w:rPr>
        <w:t>人名称</w:t>
      </w:r>
      <w:r>
        <w:rPr>
          <w:rFonts w:hint="eastAsia" w:asciiTheme="majorEastAsia" w:hAnsiTheme="majorEastAsia" w:eastAsiaTheme="majorEastAsia" w:cstheme="majorEastAsia"/>
          <w:spacing w:val="1"/>
          <w:kern w:val="0"/>
          <w:szCs w:val="21"/>
          <w:u w:val="single"/>
        </w:rPr>
        <w:t>）</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的法定代</w:t>
      </w:r>
      <w:r>
        <w:rPr>
          <w:rFonts w:hint="eastAsia" w:asciiTheme="majorEastAsia" w:hAnsiTheme="majorEastAsia" w:eastAsiaTheme="majorEastAsia" w:cstheme="majorEastAsia"/>
          <w:spacing w:val="1"/>
          <w:kern w:val="0"/>
          <w:szCs w:val="21"/>
        </w:rPr>
        <w:t>表</w:t>
      </w:r>
      <w:r>
        <w:rPr>
          <w:rFonts w:hint="eastAsia" w:asciiTheme="majorEastAsia" w:hAnsiTheme="majorEastAsia" w:eastAsiaTheme="majorEastAsia" w:cstheme="majorEastAsia"/>
          <w:kern w:val="0"/>
          <w:szCs w:val="21"/>
        </w:rPr>
        <w:t xml:space="preserve">人，现委托 </w:t>
      </w:r>
      <w:r>
        <w:rPr>
          <w:rFonts w:hint="eastAsia" w:asciiTheme="majorEastAsia" w:hAnsiTheme="majorEastAsia" w:eastAsiaTheme="majorEastAsia" w:cstheme="majorEastAsia"/>
          <w:kern w:val="0"/>
          <w:szCs w:val="21"/>
          <w:u w:val="single"/>
        </w:rPr>
        <w:t xml:space="preserve">    （姓名） </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为我方代理人。代理人根据授权，以我方名义签署、澄清、说明、补正、递交、撤回、修改</w:t>
      </w:r>
      <w:r>
        <w:rPr>
          <w:rFonts w:hint="eastAsia" w:asciiTheme="majorEastAsia" w:hAnsiTheme="majorEastAsia" w:eastAsiaTheme="majorEastAsia" w:cstheme="majorEastAsia"/>
          <w:bCs/>
          <w:kern w:val="0"/>
          <w:szCs w:val="21"/>
          <w:u w:val="single"/>
        </w:rPr>
        <w:t xml:space="preserve">                    （项目名称）                      </w:t>
      </w:r>
      <w:r>
        <w:rPr>
          <w:rFonts w:hint="eastAsia" w:asciiTheme="majorEastAsia" w:hAnsiTheme="majorEastAsia" w:eastAsiaTheme="majorEastAsia" w:cstheme="majorEastAsia"/>
          <w:kern w:val="0"/>
          <w:szCs w:val="21"/>
        </w:rPr>
        <w:t>比选申请文件、签订合同及处理有关事宜，其法律责任及后果由我方承担。</w:t>
      </w:r>
    </w:p>
    <w:p w14:paraId="3B8A18E5">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w:t>
      </w:r>
      <w:r>
        <w:rPr>
          <w:rFonts w:hint="eastAsia" w:asciiTheme="majorEastAsia" w:hAnsiTheme="majorEastAsia" w:eastAsiaTheme="majorEastAsia" w:cstheme="majorEastAsia"/>
          <w:spacing w:val="-1"/>
          <w:kern w:val="0"/>
          <w:szCs w:val="21"/>
        </w:rPr>
        <w:t>期</w:t>
      </w:r>
      <w:r>
        <w:rPr>
          <w:rFonts w:hint="eastAsia" w:asciiTheme="majorEastAsia" w:hAnsiTheme="majorEastAsia" w:eastAsiaTheme="majorEastAsia" w:cstheme="majorEastAsia"/>
          <w:kern w:val="0"/>
          <w:szCs w:val="21"/>
        </w:rPr>
        <w:t>限：</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 xml:space="preserve">。 </w:t>
      </w:r>
    </w:p>
    <w:p w14:paraId="132C9047">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代理人无转委托权。</w:t>
      </w:r>
    </w:p>
    <w:p w14:paraId="2A395EF4">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p>
    <w:p w14:paraId="6D3BC8C3">
      <w:pPr>
        <w:autoSpaceDE w:val="0"/>
        <w:autoSpaceDN w:val="0"/>
        <w:adjustRightInd w:val="0"/>
        <w:snapToGrid w:val="0"/>
        <w:spacing w:line="360" w:lineRule="auto"/>
        <w:jc w:val="left"/>
        <w:rPr>
          <w:rFonts w:asciiTheme="majorEastAsia" w:hAnsiTheme="majorEastAsia" w:eastAsiaTheme="majorEastAsia" w:cstheme="majorEastAsia"/>
          <w:kern w:val="0"/>
          <w:sz w:val="12"/>
          <w:szCs w:val="12"/>
        </w:rPr>
      </w:pPr>
    </w:p>
    <w:p w14:paraId="03376E97">
      <w:pPr>
        <w:rPr>
          <w:rFonts w:asciiTheme="majorEastAsia" w:hAnsiTheme="majorEastAsia" w:eastAsiaTheme="majorEastAsia" w:cstheme="majorEastAsia"/>
          <w:snapToGrid w:val="0"/>
          <w:kern w:val="0"/>
          <w:sz w:val="24"/>
        </w:rPr>
      </w:pPr>
      <w:r>
        <w:rPr>
          <w:rFonts w:hint="eastAsia" w:asciiTheme="majorEastAsia" w:hAnsiTheme="majorEastAsia" w:eastAsiaTheme="majorEastAsia" w:cstheme="majorEastAsia"/>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197E0B4A">
                            <w:pPr>
                              <w:jc w:val="center"/>
                            </w:pPr>
                          </w:p>
                          <w:p w14:paraId="7E8EE483">
                            <w:pPr>
                              <w:jc w:val="center"/>
                            </w:pPr>
                            <w:r>
                              <w:rPr>
                                <w:rFonts w:hint="eastAsia"/>
                              </w:rPr>
                              <w:t>委托代理人身份证复印件</w:t>
                            </w:r>
                          </w:p>
                          <w:p w14:paraId="41DA7624">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3360;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DFP6r5iAgAAowQAAA4AAAAAAAAAAQAgAAAAJgEAAGRycy9lMm9Eb2MueG1sUEsFBgAA&#10;AAAGAAYAWQEAAPoFAAAAAA==&#10;">
                <v:fill on="t" focussize="0,0"/>
                <v:stroke color="#000000" miterlimit="8" joinstyle="miter"/>
                <v:imagedata o:title=""/>
                <o:lock v:ext="edit" aspectratio="f"/>
                <v:textbox>
                  <w:txbxContent>
                    <w:p w14:paraId="197E0B4A">
                      <w:pPr>
                        <w:jc w:val="center"/>
                      </w:pPr>
                    </w:p>
                    <w:p w14:paraId="7E8EE483">
                      <w:pPr>
                        <w:jc w:val="center"/>
                      </w:pPr>
                      <w:r>
                        <w:rPr>
                          <w:rFonts w:hint="eastAsia"/>
                        </w:rPr>
                        <w:t>委托代理人身份证复印件</w:t>
                      </w:r>
                    </w:p>
                    <w:p w14:paraId="41DA7624">
                      <w:pPr>
                        <w:jc w:val="center"/>
                      </w:pPr>
                      <w:r>
                        <w:rPr>
                          <w:rFonts w:hint="eastAsia"/>
                        </w:rPr>
                        <w:t>（公民身份信息面）</w:t>
                      </w:r>
                    </w:p>
                  </w:txbxContent>
                </v:textbox>
              </v:shape>
            </w:pict>
          </mc:Fallback>
        </mc:AlternateContent>
      </w:r>
      <w:r>
        <w:rPr>
          <w:rFonts w:hint="eastAsia" w:asciiTheme="majorEastAsia" w:hAnsiTheme="majorEastAsia" w:eastAsiaTheme="majorEastAsia" w:cstheme="majorEastAsia"/>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7455A978">
                            <w:pPr>
                              <w:jc w:val="center"/>
                            </w:pPr>
                          </w:p>
                          <w:p w14:paraId="37EB28E9">
                            <w:pPr>
                              <w:jc w:val="center"/>
                            </w:pPr>
                            <w:r>
                              <w:rPr>
                                <w:rFonts w:hint="eastAsia"/>
                              </w:rPr>
                              <w:t>委托代理人身份证复印件</w:t>
                            </w:r>
                          </w:p>
                          <w:p w14:paraId="37E731CC">
                            <w:pPr>
                              <w:jc w:val="center"/>
                            </w:pPr>
                            <w:r>
                              <w:rPr>
                                <w:rFonts w:hint="eastAsia"/>
                              </w:rPr>
                              <w:t>（签发单位面）</w:t>
                            </w:r>
                          </w:p>
                          <w:p w14:paraId="5EA9196F">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4384;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Ah8LcRYgIAAKMEAAAOAAAAAAAAAAEAIAAAACcBAABkcnMvZTJvRG9jLnhtbFBLBQYA&#10;AAAABgAGAFkBAAD7BQAAAAA=&#10;">
                <v:fill on="t" focussize="0,0"/>
                <v:stroke color="#000000" miterlimit="8" joinstyle="miter"/>
                <v:imagedata o:title=""/>
                <o:lock v:ext="edit" aspectratio="f"/>
                <v:textbox>
                  <w:txbxContent>
                    <w:p w14:paraId="7455A978">
                      <w:pPr>
                        <w:jc w:val="center"/>
                      </w:pPr>
                    </w:p>
                    <w:p w14:paraId="37EB28E9">
                      <w:pPr>
                        <w:jc w:val="center"/>
                      </w:pPr>
                      <w:r>
                        <w:rPr>
                          <w:rFonts w:hint="eastAsia"/>
                        </w:rPr>
                        <w:t>委托代理人身份证复印件</w:t>
                      </w:r>
                    </w:p>
                    <w:p w14:paraId="37E731CC">
                      <w:pPr>
                        <w:jc w:val="center"/>
                      </w:pPr>
                      <w:r>
                        <w:rPr>
                          <w:rFonts w:hint="eastAsia"/>
                        </w:rPr>
                        <w:t>（签发单位面）</w:t>
                      </w:r>
                    </w:p>
                    <w:p w14:paraId="5EA9196F">
                      <w:pPr>
                        <w:jc w:val="center"/>
                      </w:pPr>
                    </w:p>
                  </w:txbxContent>
                </v:textbox>
              </v:shape>
            </w:pict>
          </mc:Fallback>
        </mc:AlternateContent>
      </w:r>
      <w:bookmarkStart w:id="631" w:name="_Toc434242234"/>
      <w:bookmarkEnd w:id="631"/>
      <w:bookmarkStart w:id="632" w:name="_Toc434242032"/>
      <w:bookmarkEnd w:id="632"/>
    </w:p>
    <w:p w14:paraId="37816FD9">
      <w:pPr>
        <w:rPr>
          <w:rFonts w:asciiTheme="majorEastAsia" w:hAnsiTheme="majorEastAsia" w:eastAsiaTheme="majorEastAsia" w:cstheme="majorEastAsia"/>
        </w:rPr>
      </w:pPr>
    </w:p>
    <w:p w14:paraId="6B0B9E49">
      <w:pPr>
        <w:rPr>
          <w:rFonts w:asciiTheme="majorEastAsia" w:hAnsiTheme="majorEastAsia" w:eastAsiaTheme="majorEastAsia" w:cstheme="majorEastAsia"/>
        </w:rPr>
      </w:pPr>
    </w:p>
    <w:p w14:paraId="1B3E3B54">
      <w:pPr>
        <w:rPr>
          <w:rFonts w:asciiTheme="majorEastAsia" w:hAnsiTheme="majorEastAsia" w:eastAsiaTheme="majorEastAsia" w:cstheme="majorEastAsia"/>
        </w:rPr>
      </w:pPr>
    </w:p>
    <w:p w14:paraId="36103BF2">
      <w:pPr>
        <w:rPr>
          <w:rFonts w:asciiTheme="majorEastAsia" w:hAnsiTheme="majorEastAsia" w:eastAsiaTheme="majorEastAsia" w:cstheme="majorEastAsia"/>
        </w:rPr>
      </w:pPr>
    </w:p>
    <w:p w14:paraId="0938A18B">
      <w:pPr>
        <w:rPr>
          <w:rFonts w:asciiTheme="majorEastAsia" w:hAnsiTheme="majorEastAsia" w:eastAsiaTheme="majorEastAsia" w:cstheme="majorEastAsia"/>
        </w:rPr>
      </w:pPr>
    </w:p>
    <w:p w14:paraId="2FC3FB84">
      <w:pPr>
        <w:rPr>
          <w:rFonts w:asciiTheme="majorEastAsia" w:hAnsiTheme="majorEastAsia" w:eastAsiaTheme="majorEastAsia" w:cstheme="majorEastAsia"/>
        </w:rPr>
      </w:pPr>
    </w:p>
    <w:p w14:paraId="0B158EFD">
      <w:pPr>
        <w:rPr>
          <w:rFonts w:asciiTheme="majorEastAsia" w:hAnsiTheme="majorEastAsia" w:eastAsiaTheme="majorEastAsia" w:cstheme="majorEastAsia"/>
        </w:rPr>
      </w:pPr>
    </w:p>
    <w:p w14:paraId="0EBCC9F3">
      <w:pPr>
        <w:rPr>
          <w:rFonts w:asciiTheme="majorEastAsia" w:hAnsiTheme="majorEastAsia" w:eastAsiaTheme="majorEastAsia" w:cstheme="majorEastAsia"/>
        </w:rPr>
      </w:pPr>
    </w:p>
    <w:p w14:paraId="43A4AF26">
      <w:pPr>
        <w:tabs>
          <w:tab w:val="left" w:pos="4200"/>
          <w:tab w:val="left" w:pos="4620"/>
        </w:tabs>
        <w:autoSpaceDE w:val="0"/>
        <w:autoSpaceDN w:val="0"/>
        <w:adjustRightInd w:val="0"/>
        <w:snapToGrid w:val="0"/>
        <w:spacing w:line="360" w:lineRule="auto"/>
        <w:ind w:firstLine="1694"/>
        <w:jc w:val="left"/>
        <w:rPr>
          <w:rFonts w:asciiTheme="majorEastAsia" w:hAnsiTheme="majorEastAsia" w:eastAsiaTheme="majorEastAsia" w:cstheme="majorEastAsia"/>
          <w:kern w:val="0"/>
          <w:szCs w:val="21"/>
        </w:rPr>
      </w:pPr>
    </w:p>
    <w:p w14:paraId="2810870A">
      <w:pPr>
        <w:tabs>
          <w:tab w:val="left" w:pos="4200"/>
          <w:tab w:val="left" w:pos="4620"/>
        </w:tabs>
        <w:autoSpaceDE w:val="0"/>
        <w:autoSpaceDN w:val="0"/>
        <w:adjustRightInd w:val="0"/>
        <w:snapToGrid w:val="0"/>
        <w:spacing w:line="480" w:lineRule="auto"/>
        <w:ind w:firstLine="1694"/>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spacing w:val="-1"/>
          <w:kern w:val="0"/>
          <w:szCs w:val="21"/>
        </w:rPr>
        <w:t>盖单位公章</w:t>
      </w:r>
      <w:r>
        <w:rPr>
          <w:rFonts w:hint="eastAsia" w:asciiTheme="majorEastAsia" w:hAnsiTheme="majorEastAsia" w:eastAsiaTheme="majorEastAsia" w:cstheme="majorEastAsia"/>
          <w:kern w:val="0"/>
          <w:szCs w:val="21"/>
        </w:rPr>
        <w:t xml:space="preserve">） </w:t>
      </w:r>
    </w:p>
    <w:p w14:paraId="579C9E38">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法定代表人：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（签字）</w:t>
      </w:r>
    </w:p>
    <w:p w14:paraId="5E0082F9">
      <w:pPr>
        <w:tabs>
          <w:tab w:val="left" w:pos="526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身份证号码：</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szCs w:val="21"/>
        </w:rPr>
        <w:tab/>
      </w:r>
    </w:p>
    <w:p w14:paraId="5547CA04">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委托代理人：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（签</w:t>
      </w:r>
      <w:r>
        <w:rPr>
          <w:rFonts w:hint="eastAsia" w:asciiTheme="majorEastAsia" w:hAnsiTheme="majorEastAsia" w:eastAsiaTheme="majorEastAsia" w:cstheme="majorEastAsia"/>
          <w:spacing w:val="-1"/>
          <w:kern w:val="0"/>
          <w:szCs w:val="21"/>
        </w:rPr>
        <w:t>字</w:t>
      </w:r>
      <w:r>
        <w:rPr>
          <w:rFonts w:hint="eastAsia" w:asciiTheme="majorEastAsia" w:hAnsiTheme="majorEastAsia" w:eastAsiaTheme="majorEastAsia" w:cstheme="majorEastAsia"/>
          <w:kern w:val="0"/>
          <w:szCs w:val="21"/>
        </w:rPr>
        <w:t>）</w:t>
      </w:r>
    </w:p>
    <w:p w14:paraId="7672375F">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身份证号码：</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p>
    <w:p w14:paraId="0E71CE03">
      <w:pPr>
        <w:spacing w:line="480" w:lineRule="auto"/>
        <w:ind w:firstLine="2975" w:firstLineChars="1417"/>
        <w:rPr>
          <w:rFonts w:asciiTheme="majorEastAsia" w:hAnsiTheme="majorEastAsia" w:eastAsiaTheme="majorEastAsia" w:cstheme="majorEastAsia"/>
        </w:rPr>
      </w:pP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日</w:t>
      </w:r>
    </w:p>
    <w:p w14:paraId="5B2A1BD2">
      <w:pPr>
        <w:rPr>
          <w:rFonts w:asciiTheme="majorEastAsia" w:hAnsiTheme="majorEastAsia" w:eastAsiaTheme="majorEastAsia" w:cstheme="majorEastAsia"/>
        </w:rPr>
      </w:pPr>
    </w:p>
    <w:p w14:paraId="2B3A572B">
      <w:pPr>
        <w:pStyle w:val="45"/>
        <w:rPr>
          <w:rFonts w:asciiTheme="majorEastAsia" w:hAnsiTheme="majorEastAsia" w:eastAsiaTheme="majorEastAsia" w:cstheme="majorEastAsia"/>
          <w:lang w:eastAsia="zh-CN"/>
        </w:rPr>
      </w:pPr>
    </w:p>
    <w:p w14:paraId="0989C0AD">
      <w:pPr>
        <w:pStyle w:val="45"/>
        <w:rPr>
          <w:rFonts w:asciiTheme="majorEastAsia" w:hAnsiTheme="majorEastAsia" w:eastAsiaTheme="majorEastAsia" w:cstheme="majorEastAsia"/>
          <w:lang w:eastAsia="zh-CN"/>
        </w:rPr>
      </w:pPr>
    </w:p>
    <w:p w14:paraId="70DE03F9">
      <w:pPr>
        <w:autoSpaceDE w:val="0"/>
        <w:autoSpaceDN w:val="0"/>
        <w:adjustRightInd w:val="0"/>
        <w:snapToGrid w:val="0"/>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注：法定代表人参加比选申请活动并签署文件的不需要授权委托书，只需提供法定代表人身份证明；非法定代表人参加比选申请活动及签署文件的除提供法定代表人身份证明外还须提供授权委托书。</w:t>
      </w:r>
    </w:p>
    <w:bookmarkEnd w:id="627"/>
    <w:p w14:paraId="78E686CF">
      <w:pPr>
        <w:autoSpaceDE w:val="0"/>
        <w:autoSpaceDN w:val="0"/>
        <w:spacing w:after="120" w:line="360" w:lineRule="auto"/>
        <w:jc w:val="left"/>
        <w:rPr>
          <w:rFonts w:asciiTheme="majorEastAsia" w:hAnsiTheme="majorEastAsia" w:eastAsiaTheme="majorEastAsia" w:cstheme="majorEastAsia"/>
          <w:kern w:val="0"/>
          <w:szCs w:val="21"/>
        </w:rPr>
      </w:pPr>
      <w:bookmarkStart w:id="633" w:name="_bookmark160"/>
      <w:bookmarkEnd w:id="633"/>
    </w:p>
    <w:p w14:paraId="2AF6388F">
      <w:pPr>
        <w:pStyle w:val="3"/>
        <w:jc w:val="center"/>
        <w:rPr>
          <w:rFonts w:asciiTheme="majorEastAsia" w:hAnsiTheme="majorEastAsia" w:eastAsiaTheme="majorEastAsia" w:cstheme="majorEastAsia"/>
          <w:b w:val="0"/>
          <w:bCs/>
          <w:szCs w:val="21"/>
        </w:rPr>
      </w:pPr>
      <w:bookmarkStart w:id="634" w:name="_bookmark161"/>
      <w:bookmarkEnd w:id="634"/>
      <w:bookmarkStart w:id="635" w:name="_Toc1132"/>
      <w:r>
        <w:rPr>
          <w:rFonts w:hint="eastAsia" w:asciiTheme="majorEastAsia" w:hAnsiTheme="majorEastAsia" w:eastAsiaTheme="majorEastAsia" w:cstheme="majorEastAsia"/>
        </w:rPr>
        <w:br w:type="page"/>
      </w:r>
      <w:bookmarkEnd w:id="635"/>
      <w:bookmarkStart w:id="636" w:name="_Toc430530547"/>
      <w:bookmarkStart w:id="637" w:name="_Toc287620831"/>
      <w:bookmarkStart w:id="638" w:name="_Toc17055"/>
      <w:bookmarkStart w:id="639" w:name="_Toc224103512"/>
      <w:bookmarkStart w:id="640" w:name="_Toc277082658"/>
      <w:bookmarkStart w:id="641" w:name="_Toc287607884"/>
      <w:bookmarkStart w:id="642" w:name="_Toc1725776"/>
    </w:p>
    <w:bookmarkEnd w:id="636"/>
    <w:bookmarkEnd w:id="637"/>
    <w:bookmarkEnd w:id="638"/>
    <w:bookmarkEnd w:id="639"/>
    <w:bookmarkEnd w:id="640"/>
    <w:bookmarkEnd w:id="641"/>
    <w:p w14:paraId="54D59CA0">
      <w:pPr>
        <w:pStyle w:val="3"/>
        <w:jc w:val="center"/>
        <w:rPr>
          <w:rFonts w:asciiTheme="majorEastAsia" w:hAnsiTheme="majorEastAsia" w:eastAsiaTheme="majorEastAsia" w:cstheme="majorEastAsia"/>
          <w:szCs w:val="22"/>
        </w:rPr>
      </w:pPr>
      <w:bookmarkStart w:id="643" w:name="_Toc22392"/>
      <w:bookmarkStart w:id="644" w:name="_Toc277082659"/>
      <w:bookmarkStart w:id="645" w:name="_Toc287607887"/>
      <w:r>
        <w:rPr>
          <w:rFonts w:hint="eastAsia" w:asciiTheme="majorEastAsia" w:hAnsiTheme="majorEastAsia" w:eastAsiaTheme="majorEastAsia" w:cstheme="majorEastAsia"/>
          <w:szCs w:val="22"/>
        </w:rPr>
        <w:t>三、比选申请人基本情况表</w:t>
      </w:r>
      <w:bookmarkEnd w:id="643"/>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19"/>
        <w:gridCol w:w="974"/>
        <w:gridCol w:w="1113"/>
        <w:gridCol w:w="1399"/>
        <w:gridCol w:w="450"/>
        <w:gridCol w:w="946"/>
        <w:gridCol w:w="899"/>
        <w:gridCol w:w="311"/>
        <w:gridCol w:w="1337"/>
      </w:tblGrid>
      <w:tr w14:paraId="20D0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1C1E25D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rPr>
              <w:t>比选申请</w:t>
            </w:r>
            <w:r>
              <w:rPr>
                <w:rFonts w:hint="eastAsia" w:asciiTheme="majorEastAsia" w:hAnsiTheme="majorEastAsia" w:eastAsiaTheme="majorEastAsia" w:cstheme="majorEastAsia"/>
                <w:kern w:val="0"/>
                <w:sz w:val="22"/>
                <w:szCs w:val="22"/>
                <w:lang w:eastAsia="en-US"/>
              </w:rPr>
              <w:t>人名称</w:t>
            </w:r>
          </w:p>
        </w:tc>
        <w:tc>
          <w:tcPr>
            <w:tcW w:w="3850" w:type="pct"/>
            <w:gridSpan w:val="8"/>
            <w:shd w:val="clear" w:color="auto" w:fill="auto"/>
            <w:vAlign w:val="center"/>
          </w:tcPr>
          <w:p w14:paraId="07308EB8">
            <w:pPr>
              <w:autoSpaceDE w:val="0"/>
              <w:autoSpaceDN w:val="0"/>
              <w:jc w:val="center"/>
              <w:rPr>
                <w:rFonts w:asciiTheme="majorEastAsia" w:hAnsiTheme="majorEastAsia" w:eastAsiaTheme="majorEastAsia" w:cstheme="majorEastAsia"/>
                <w:kern w:val="0"/>
                <w:sz w:val="20"/>
                <w:szCs w:val="22"/>
                <w:lang w:eastAsia="en-US"/>
              </w:rPr>
            </w:pPr>
          </w:p>
        </w:tc>
      </w:tr>
      <w:tr w14:paraId="6C69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1E21DC6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注册地址</w:t>
            </w:r>
          </w:p>
        </w:tc>
        <w:tc>
          <w:tcPr>
            <w:tcW w:w="1807" w:type="pct"/>
            <w:gridSpan w:val="3"/>
            <w:shd w:val="clear" w:color="auto" w:fill="auto"/>
            <w:vAlign w:val="center"/>
          </w:tcPr>
          <w:p w14:paraId="19F06E76">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2F39F49F">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邮政编码</w:t>
            </w:r>
          </w:p>
        </w:tc>
        <w:tc>
          <w:tcPr>
            <w:tcW w:w="1320" w:type="pct"/>
            <w:gridSpan w:val="3"/>
            <w:shd w:val="clear" w:color="auto" w:fill="auto"/>
            <w:vAlign w:val="center"/>
          </w:tcPr>
          <w:p w14:paraId="35A7515F">
            <w:pPr>
              <w:autoSpaceDE w:val="0"/>
              <w:autoSpaceDN w:val="0"/>
              <w:jc w:val="center"/>
              <w:rPr>
                <w:rFonts w:asciiTheme="majorEastAsia" w:hAnsiTheme="majorEastAsia" w:eastAsiaTheme="majorEastAsia" w:cstheme="majorEastAsia"/>
                <w:kern w:val="0"/>
                <w:sz w:val="20"/>
                <w:szCs w:val="22"/>
                <w:lang w:eastAsia="en-US"/>
              </w:rPr>
            </w:pPr>
          </w:p>
        </w:tc>
      </w:tr>
      <w:tr w14:paraId="0BA7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vMerge w:val="restart"/>
            <w:shd w:val="clear" w:color="auto" w:fill="auto"/>
            <w:vAlign w:val="center"/>
          </w:tcPr>
          <w:p w14:paraId="61FA12CF">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联系方式</w:t>
            </w:r>
          </w:p>
        </w:tc>
        <w:tc>
          <w:tcPr>
            <w:tcW w:w="505" w:type="pct"/>
            <w:shd w:val="clear" w:color="auto" w:fill="auto"/>
            <w:vAlign w:val="center"/>
          </w:tcPr>
          <w:p w14:paraId="55D242D8">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联系人</w:t>
            </w:r>
          </w:p>
        </w:tc>
        <w:tc>
          <w:tcPr>
            <w:tcW w:w="1302" w:type="pct"/>
            <w:gridSpan w:val="2"/>
            <w:shd w:val="clear" w:color="auto" w:fill="auto"/>
            <w:vAlign w:val="center"/>
          </w:tcPr>
          <w:p w14:paraId="27D92DB7">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46DDBD5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 话</w:t>
            </w:r>
          </w:p>
        </w:tc>
        <w:tc>
          <w:tcPr>
            <w:tcW w:w="1320" w:type="pct"/>
            <w:gridSpan w:val="3"/>
            <w:shd w:val="clear" w:color="auto" w:fill="auto"/>
            <w:vAlign w:val="center"/>
          </w:tcPr>
          <w:p w14:paraId="6E092115">
            <w:pPr>
              <w:autoSpaceDE w:val="0"/>
              <w:autoSpaceDN w:val="0"/>
              <w:jc w:val="center"/>
              <w:rPr>
                <w:rFonts w:asciiTheme="majorEastAsia" w:hAnsiTheme="majorEastAsia" w:eastAsiaTheme="majorEastAsia" w:cstheme="majorEastAsia"/>
                <w:kern w:val="0"/>
                <w:sz w:val="20"/>
                <w:szCs w:val="22"/>
                <w:lang w:eastAsia="en-US"/>
              </w:rPr>
            </w:pPr>
          </w:p>
        </w:tc>
      </w:tr>
      <w:tr w14:paraId="361F4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150" w:type="pct"/>
            <w:vMerge w:val="continue"/>
            <w:tcBorders>
              <w:top w:val="nil"/>
            </w:tcBorders>
            <w:shd w:val="clear" w:color="auto" w:fill="auto"/>
            <w:vAlign w:val="center"/>
          </w:tcPr>
          <w:p w14:paraId="43224150">
            <w:pPr>
              <w:autoSpaceDE w:val="0"/>
              <w:autoSpaceDN w:val="0"/>
              <w:jc w:val="center"/>
              <w:rPr>
                <w:rFonts w:asciiTheme="majorEastAsia" w:hAnsiTheme="majorEastAsia" w:eastAsiaTheme="majorEastAsia" w:cstheme="majorEastAsia"/>
                <w:kern w:val="0"/>
                <w:sz w:val="2"/>
                <w:szCs w:val="2"/>
                <w:lang w:eastAsia="en-US"/>
              </w:rPr>
            </w:pPr>
          </w:p>
        </w:tc>
        <w:tc>
          <w:tcPr>
            <w:tcW w:w="505" w:type="pct"/>
            <w:shd w:val="clear" w:color="auto" w:fill="auto"/>
            <w:vAlign w:val="center"/>
          </w:tcPr>
          <w:p w14:paraId="641D3458">
            <w:pPr>
              <w:tabs>
                <w:tab w:val="left" w:pos="432"/>
              </w:tabs>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传</w:t>
            </w:r>
            <w:r>
              <w:rPr>
                <w:rFonts w:hint="eastAsia" w:asciiTheme="majorEastAsia" w:hAnsiTheme="majorEastAsia" w:eastAsiaTheme="majorEastAsia" w:cstheme="majorEastAsia"/>
                <w:kern w:val="0"/>
                <w:sz w:val="22"/>
                <w:szCs w:val="22"/>
                <w:lang w:eastAsia="en-US"/>
              </w:rPr>
              <w:tab/>
            </w:r>
            <w:r>
              <w:rPr>
                <w:rFonts w:hint="eastAsia" w:asciiTheme="majorEastAsia" w:hAnsiTheme="majorEastAsia" w:eastAsiaTheme="majorEastAsia" w:cstheme="majorEastAsia"/>
                <w:kern w:val="0"/>
                <w:sz w:val="22"/>
                <w:szCs w:val="22"/>
                <w:lang w:eastAsia="en-US"/>
              </w:rPr>
              <w:t>真</w:t>
            </w:r>
          </w:p>
        </w:tc>
        <w:tc>
          <w:tcPr>
            <w:tcW w:w="1302" w:type="pct"/>
            <w:gridSpan w:val="2"/>
            <w:shd w:val="clear" w:color="auto" w:fill="auto"/>
            <w:vAlign w:val="center"/>
          </w:tcPr>
          <w:p w14:paraId="07E079A1">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289DE58B">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网 址</w:t>
            </w:r>
          </w:p>
        </w:tc>
        <w:tc>
          <w:tcPr>
            <w:tcW w:w="1320" w:type="pct"/>
            <w:gridSpan w:val="3"/>
            <w:shd w:val="clear" w:color="auto" w:fill="auto"/>
            <w:vAlign w:val="center"/>
          </w:tcPr>
          <w:p w14:paraId="1430A027">
            <w:pPr>
              <w:autoSpaceDE w:val="0"/>
              <w:autoSpaceDN w:val="0"/>
              <w:jc w:val="center"/>
              <w:rPr>
                <w:rFonts w:asciiTheme="majorEastAsia" w:hAnsiTheme="majorEastAsia" w:eastAsiaTheme="majorEastAsia" w:cstheme="majorEastAsia"/>
                <w:kern w:val="0"/>
                <w:sz w:val="20"/>
                <w:szCs w:val="22"/>
                <w:lang w:eastAsia="en-US"/>
              </w:rPr>
            </w:pPr>
          </w:p>
        </w:tc>
      </w:tr>
      <w:tr w14:paraId="47CE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3DE4D52B">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法定代表人</w:t>
            </w:r>
          </w:p>
        </w:tc>
        <w:tc>
          <w:tcPr>
            <w:tcW w:w="505" w:type="pct"/>
            <w:shd w:val="clear" w:color="auto" w:fill="auto"/>
            <w:vAlign w:val="center"/>
          </w:tcPr>
          <w:p w14:paraId="6DA92A2C">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姓名</w:t>
            </w:r>
          </w:p>
        </w:tc>
        <w:tc>
          <w:tcPr>
            <w:tcW w:w="577" w:type="pct"/>
            <w:shd w:val="clear" w:color="auto" w:fill="auto"/>
            <w:vAlign w:val="center"/>
          </w:tcPr>
          <w:p w14:paraId="61FF5BAB">
            <w:pPr>
              <w:autoSpaceDE w:val="0"/>
              <w:autoSpaceDN w:val="0"/>
              <w:jc w:val="center"/>
              <w:rPr>
                <w:rFonts w:asciiTheme="majorEastAsia" w:hAnsiTheme="majorEastAsia" w:eastAsiaTheme="majorEastAsia" w:cstheme="majorEastAsia"/>
                <w:kern w:val="0"/>
                <w:sz w:val="20"/>
                <w:szCs w:val="22"/>
                <w:lang w:eastAsia="en-US"/>
              </w:rPr>
            </w:pPr>
          </w:p>
        </w:tc>
        <w:tc>
          <w:tcPr>
            <w:tcW w:w="725" w:type="pct"/>
            <w:shd w:val="clear" w:color="auto" w:fill="auto"/>
            <w:vAlign w:val="center"/>
          </w:tcPr>
          <w:p w14:paraId="4C9DA260">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技术职称</w:t>
            </w:r>
          </w:p>
        </w:tc>
        <w:tc>
          <w:tcPr>
            <w:tcW w:w="723" w:type="pct"/>
            <w:gridSpan w:val="2"/>
            <w:shd w:val="clear" w:color="auto" w:fill="auto"/>
            <w:vAlign w:val="center"/>
          </w:tcPr>
          <w:p w14:paraId="43B472E9">
            <w:pPr>
              <w:autoSpaceDE w:val="0"/>
              <w:autoSpaceDN w:val="0"/>
              <w:jc w:val="center"/>
              <w:rPr>
                <w:rFonts w:asciiTheme="majorEastAsia" w:hAnsiTheme="majorEastAsia" w:eastAsiaTheme="majorEastAsia" w:cstheme="majorEastAsia"/>
                <w:kern w:val="0"/>
                <w:sz w:val="20"/>
                <w:szCs w:val="22"/>
                <w:lang w:eastAsia="en-US"/>
              </w:rPr>
            </w:pPr>
          </w:p>
        </w:tc>
        <w:tc>
          <w:tcPr>
            <w:tcW w:w="627" w:type="pct"/>
            <w:gridSpan w:val="2"/>
            <w:shd w:val="clear" w:color="auto" w:fill="auto"/>
            <w:vAlign w:val="center"/>
          </w:tcPr>
          <w:p w14:paraId="17C5291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电话</w:t>
            </w:r>
          </w:p>
        </w:tc>
        <w:tc>
          <w:tcPr>
            <w:tcW w:w="693" w:type="pct"/>
            <w:shd w:val="clear" w:color="auto" w:fill="auto"/>
            <w:vAlign w:val="center"/>
          </w:tcPr>
          <w:p w14:paraId="77806C2E">
            <w:pPr>
              <w:autoSpaceDE w:val="0"/>
              <w:autoSpaceDN w:val="0"/>
              <w:jc w:val="center"/>
              <w:rPr>
                <w:rFonts w:asciiTheme="majorEastAsia" w:hAnsiTheme="majorEastAsia" w:eastAsiaTheme="majorEastAsia" w:cstheme="majorEastAsia"/>
                <w:kern w:val="0"/>
                <w:sz w:val="20"/>
                <w:szCs w:val="22"/>
                <w:lang w:eastAsia="en-US"/>
              </w:rPr>
            </w:pPr>
          </w:p>
        </w:tc>
      </w:tr>
      <w:tr w14:paraId="6538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306EC15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技术负责人</w:t>
            </w:r>
          </w:p>
        </w:tc>
        <w:tc>
          <w:tcPr>
            <w:tcW w:w="505" w:type="pct"/>
            <w:shd w:val="clear" w:color="auto" w:fill="auto"/>
            <w:vAlign w:val="center"/>
          </w:tcPr>
          <w:p w14:paraId="7063918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姓名</w:t>
            </w:r>
          </w:p>
        </w:tc>
        <w:tc>
          <w:tcPr>
            <w:tcW w:w="577" w:type="pct"/>
            <w:shd w:val="clear" w:color="auto" w:fill="auto"/>
            <w:vAlign w:val="center"/>
          </w:tcPr>
          <w:p w14:paraId="4B62F5B6">
            <w:pPr>
              <w:autoSpaceDE w:val="0"/>
              <w:autoSpaceDN w:val="0"/>
              <w:jc w:val="center"/>
              <w:rPr>
                <w:rFonts w:asciiTheme="majorEastAsia" w:hAnsiTheme="majorEastAsia" w:eastAsiaTheme="majorEastAsia" w:cstheme="majorEastAsia"/>
                <w:kern w:val="0"/>
                <w:sz w:val="20"/>
                <w:szCs w:val="22"/>
                <w:lang w:eastAsia="en-US"/>
              </w:rPr>
            </w:pPr>
          </w:p>
        </w:tc>
        <w:tc>
          <w:tcPr>
            <w:tcW w:w="725" w:type="pct"/>
            <w:shd w:val="clear" w:color="auto" w:fill="auto"/>
            <w:vAlign w:val="center"/>
          </w:tcPr>
          <w:p w14:paraId="6BF792B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技术职称</w:t>
            </w:r>
          </w:p>
        </w:tc>
        <w:tc>
          <w:tcPr>
            <w:tcW w:w="723" w:type="pct"/>
            <w:gridSpan w:val="2"/>
            <w:shd w:val="clear" w:color="auto" w:fill="auto"/>
            <w:vAlign w:val="center"/>
          </w:tcPr>
          <w:p w14:paraId="367E3489">
            <w:pPr>
              <w:autoSpaceDE w:val="0"/>
              <w:autoSpaceDN w:val="0"/>
              <w:jc w:val="center"/>
              <w:rPr>
                <w:rFonts w:asciiTheme="majorEastAsia" w:hAnsiTheme="majorEastAsia" w:eastAsiaTheme="majorEastAsia" w:cstheme="majorEastAsia"/>
                <w:kern w:val="0"/>
                <w:sz w:val="20"/>
                <w:szCs w:val="22"/>
                <w:lang w:eastAsia="en-US"/>
              </w:rPr>
            </w:pPr>
          </w:p>
        </w:tc>
        <w:tc>
          <w:tcPr>
            <w:tcW w:w="627" w:type="pct"/>
            <w:gridSpan w:val="2"/>
            <w:shd w:val="clear" w:color="auto" w:fill="auto"/>
            <w:vAlign w:val="center"/>
          </w:tcPr>
          <w:p w14:paraId="587973C0">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电话</w:t>
            </w:r>
          </w:p>
        </w:tc>
        <w:tc>
          <w:tcPr>
            <w:tcW w:w="693" w:type="pct"/>
            <w:shd w:val="clear" w:color="auto" w:fill="auto"/>
            <w:vAlign w:val="center"/>
          </w:tcPr>
          <w:p w14:paraId="2D49013F">
            <w:pPr>
              <w:autoSpaceDE w:val="0"/>
              <w:autoSpaceDN w:val="0"/>
              <w:jc w:val="center"/>
              <w:rPr>
                <w:rFonts w:asciiTheme="majorEastAsia" w:hAnsiTheme="majorEastAsia" w:eastAsiaTheme="majorEastAsia" w:cstheme="majorEastAsia"/>
                <w:kern w:val="0"/>
                <w:sz w:val="20"/>
                <w:szCs w:val="22"/>
                <w:lang w:eastAsia="en-US"/>
              </w:rPr>
            </w:pPr>
          </w:p>
        </w:tc>
      </w:tr>
      <w:tr w14:paraId="62EC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5B3DE73B">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企业资质证书</w:t>
            </w:r>
          </w:p>
        </w:tc>
        <w:tc>
          <w:tcPr>
            <w:tcW w:w="3850" w:type="pct"/>
            <w:gridSpan w:val="8"/>
            <w:shd w:val="clear" w:color="auto" w:fill="auto"/>
            <w:vAlign w:val="center"/>
          </w:tcPr>
          <w:p w14:paraId="3BA1B198">
            <w:pPr>
              <w:tabs>
                <w:tab w:val="left" w:pos="3790"/>
                <w:tab w:val="left" w:pos="5050"/>
              </w:tabs>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类型：                </w:t>
            </w:r>
            <w:r>
              <w:rPr>
                <w:rFonts w:hint="eastAsia" w:asciiTheme="majorEastAsia" w:hAnsiTheme="majorEastAsia" w:eastAsiaTheme="majorEastAsia" w:cstheme="majorEastAsia"/>
                <w:spacing w:val="-3"/>
                <w:kern w:val="0"/>
                <w:sz w:val="22"/>
                <w:szCs w:val="22"/>
              </w:rPr>
              <w:t>等</w:t>
            </w:r>
            <w:r>
              <w:rPr>
                <w:rFonts w:hint="eastAsia" w:asciiTheme="majorEastAsia" w:hAnsiTheme="majorEastAsia" w:eastAsiaTheme="majorEastAsia" w:cstheme="majorEastAsia"/>
                <w:kern w:val="0"/>
                <w:sz w:val="22"/>
                <w:szCs w:val="22"/>
              </w:rPr>
              <w:t>级：</w:t>
            </w:r>
            <w:r>
              <w:rPr>
                <w:rFonts w:hint="eastAsia" w:asciiTheme="majorEastAsia" w:hAnsiTheme="majorEastAsia" w:eastAsiaTheme="majorEastAsia" w:cstheme="majorEastAsia"/>
                <w:kern w:val="0"/>
                <w:sz w:val="22"/>
                <w:szCs w:val="22"/>
              </w:rPr>
              <w:tab/>
            </w:r>
            <w:r>
              <w:rPr>
                <w:rFonts w:hint="eastAsia" w:asciiTheme="majorEastAsia" w:hAnsiTheme="majorEastAsia" w:eastAsiaTheme="majorEastAsia" w:cstheme="majorEastAsia"/>
                <w:spacing w:val="-3"/>
                <w:kern w:val="0"/>
                <w:sz w:val="22"/>
                <w:szCs w:val="22"/>
              </w:rPr>
              <w:t>证</w:t>
            </w:r>
            <w:r>
              <w:rPr>
                <w:rFonts w:hint="eastAsia" w:asciiTheme="majorEastAsia" w:hAnsiTheme="majorEastAsia" w:eastAsiaTheme="majorEastAsia" w:cstheme="majorEastAsia"/>
                <w:kern w:val="0"/>
                <w:sz w:val="22"/>
                <w:szCs w:val="22"/>
              </w:rPr>
              <w:t>书</w:t>
            </w:r>
            <w:r>
              <w:rPr>
                <w:rFonts w:hint="eastAsia" w:asciiTheme="majorEastAsia" w:hAnsiTheme="majorEastAsia" w:eastAsiaTheme="majorEastAsia" w:cstheme="majorEastAsia"/>
                <w:spacing w:val="-3"/>
                <w:kern w:val="0"/>
                <w:sz w:val="22"/>
                <w:szCs w:val="22"/>
              </w:rPr>
              <w:t>号</w:t>
            </w:r>
            <w:r>
              <w:rPr>
                <w:rFonts w:hint="eastAsia" w:asciiTheme="majorEastAsia" w:hAnsiTheme="majorEastAsia" w:eastAsiaTheme="majorEastAsia" w:cstheme="majorEastAsia"/>
                <w:kern w:val="0"/>
                <w:sz w:val="22"/>
                <w:szCs w:val="22"/>
              </w:rPr>
              <w:t>：</w:t>
            </w:r>
          </w:p>
        </w:tc>
      </w:tr>
      <w:tr w14:paraId="7D04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150" w:type="pct"/>
            <w:shd w:val="clear" w:color="auto" w:fill="auto"/>
            <w:vAlign w:val="center"/>
          </w:tcPr>
          <w:p w14:paraId="6776B4E7">
            <w:pPr>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质量管理体系证书</w:t>
            </w:r>
          </w:p>
          <w:p w14:paraId="601F40F9">
            <w:pPr>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（如有）</w:t>
            </w:r>
          </w:p>
        </w:tc>
        <w:tc>
          <w:tcPr>
            <w:tcW w:w="3850" w:type="pct"/>
            <w:gridSpan w:val="8"/>
            <w:shd w:val="clear" w:color="auto" w:fill="auto"/>
            <w:vAlign w:val="center"/>
          </w:tcPr>
          <w:p w14:paraId="5E0702C3">
            <w:pPr>
              <w:autoSpaceDE w:val="0"/>
              <w:autoSpaceDN w:val="0"/>
              <w:jc w:val="center"/>
              <w:rPr>
                <w:rFonts w:asciiTheme="majorEastAsia" w:hAnsiTheme="majorEastAsia" w:eastAsiaTheme="majorEastAsia" w:cstheme="majorEastAsia"/>
                <w:kern w:val="0"/>
                <w:sz w:val="25"/>
                <w:szCs w:val="22"/>
              </w:rPr>
            </w:pPr>
          </w:p>
          <w:p w14:paraId="671772B4">
            <w:pPr>
              <w:tabs>
                <w:tab w:val="left" w:pos="3790"/>
                <w:tab w:val="left" w:pos="5050"/>
              </w:tabs>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类型：                </w:t>
            </w:r>
            <w:r>
              <w:rPr>
                <w:rFonts w:hint="eastAsia" w:asciiTheme="majorEastAsia" w:hAnsiTheme="majorEastAsia" w:eastAsiaTheme="majorEastAsia" w:cstheme="majorEastAsia"/>
                <w:spacing w:val="-3"/>
                <w:kern w:val="0"/>
                <w:sz w:val="22"/>
                <w:szCs w:val="22"/>
              </w:rPr>
              <w:t>等</w:t>
            </w:r>
            <w:r>
              <w:rPr>
                <w:rFonts w:hint="eastAsia" w:asciiTheme="majorEastAsia" w:hAnsiTheme="majorEastAsia" w:eastAsiaTheme="majorEastAsia" w:cstheme="majorEastAsia"/>
                <w:kern w:val="0"/>
                <w:sz w:val="22"/>
                <w:szCs w:val="22"/>
              </w:rPr>
              <w:t>级：</w:t>
            </w:r>
            <w:r>
              <w:rPr>
                <w:rFonts w:hint="eastAsia" w:asciiTheme="majorEastAsia" w:hAnsiTheme="majorEastAsia" w:eastAsiaTheme="majorEastAsia" w:cstheme="majorEastAsia"/>
                <w:kern w:val="0"/>
                <w:sz w:val="22"/>
                <w:szCs w:val="22"/>
              </w:rPr>
              <w:tab/>
            </w:r>
            <w:r>
              <w:rPr>
                <w:rFonts w:hint="eastAsia" w:asciiTheme="majorEastAsia" w:hAnsiTheme="majorEastAsia" w:eastAsiaTheme="majorEastAsia" w:cstheme="majorEastAsia"/>
                <w:spacing w:val="-3"/>
                <w:kern w:val="0"/>
                <w:sz w:val="22"/>
                <w:szCs w:val="22"/>
              </w:rPr>
              <w:t>证</w:t>
            </w:r>
            <w:r>
              <w:rPr>
                <w:rFonts w:hint="eastAsia" w:asciiTheme="majorEastAsia" w:hAnsiTheme="majorEastAsia" w:eastAsiaTheme="majorEastAsia" w:cstheme="majorEastAsia"/>
                <w:kern w:val="0"/>
                <w:sz w:val="22"/>
                <w:szCs w:val="22"/>
              </w:rPr>
              <w:t>书</w:t>
            </w:r>
            <w:r>
              <w:rPr>
                <w:rFonts w:hint="eastAsia" w:asciiTheme="majorEastAsia" w:hAnsiTheme="majorEastAsia" w:eastAsiaTheme="majorEastAsia" w:cstheme="majorEastAsia"/>
                <w:spacing w:val="-3"/>
                <w:kern w:val="0"/>
                <w:sz w:val="22"/>
                <w:szCs w:val="22"/>
              </w:rPr>
              <w:t>号</w:t>
            </w:r>
            <w:r>
              <w:rPr>
                <w:rFonts w:hint="eastAsia" w:asciiTheme="majorEastAsia" w:hAnsiTheme="majorEastAsia" w:eastAsiaTheme="majorEastAsia" w:cstheme="majorEastAsia"/>
                <w:kern w:val="0"/>
                <w:sz w:val="22"/>
                <w:szCs w:val="22"/>
              </w:rPr>
              <w:t>：</w:t>
            </w:r>
          </w:p>
        </w:tc>
      </w:tr>
      <w:tr w14:paraId="35C3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150" w:type="pct"/>
            <w:shd w:val="clear" w:color="auto" w:fill="auto"/>
            <w:vAlign w:val="center"/>
          </w:tcPr>
          <w:p w14:paraId="674F666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sz w:val="22"/>
                <w:szCs w:val="22"/>
              </w:rPr>
              <w:t>统一社会信用代码</w:t>
            </w:r>
          </w:p>
        </w:tc>
        <w:tc>
          <w:tcPr>
            <w:tcW w:w="1807" w:type="pct"/>
            <w:gridSpan w:val="3"/>
            <w:shd w:val="clear" w:color="auto" w:fill="auto"/>
            <w:vAlign w:val="center"/>
          </w:tcPr>
          <w:p w14:paraId="287F8CBC">
            <w:pPr>
              <w:autoSpaceDE w:val="0"/>
              <w:autoSpaceDN w:val="0"/>
              <w:jc w:val="center"/>
              <w:rPr>
                <w:rFonts w:asciiTheme="majorEastAsia" w:hAnsiTheme="majorEastAsia" w:eastAsiaTheme="majorEastAsia" w:cstheme="majorEastAsia"/>
                <w:kern w:val="0"/>
                <w:sz w:val="20"/>
                <w:szCs w:val="22"/>
                <w:lang w:eastAsia="en-US"/>
              </w:rPr>
            </w:pPr>
          </w:p>
        </w:tc>
        <w:tc>
          <w:tcPr>
            <w:tcW w:w="2043" w:type="pct"/>
            <w:gridSpan w:val="5"/>
            <w:shd w:val="clear" w:color="auto" w:fill="auto"/>
            <w:vAlign w:val="center"/>
          </w:tcPr>
          <w:p w14:paraId="67FCB85A">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员工总人数：</w:t>
            </w:r>
          </w:p>
        </w:tc>
      </w:tr>
      <w:tr w14:paraId="4B81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2C60437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注册资本</w:t>
            </w:r>
          </w:p>
        </w:tc>
        <w:tc>
          <w:tcPr>
            <w:tcW w:w="1807" w:type="pct"/>
            <w:gridSpan w:val="3"/>
            <w:shd w:val="clear" w:color="auto" w:fill="auto"/>
            <w:vAlign w:val="center"/>
          </w:tcPr>
          <w:p w14:paraId="285AB347">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restart"/>
            <w:shd w:val="clear" w:color="auto" w:fill="auto"/>
            <w:vAlign w:val="center"/>
          </w:tcPr>
          <w:p w14:paraId="11DDF8B4">
            <w:pPr>
              <w:autoSpaceDE w:val="0"/>
              <w:autoSpaceDN w:val="0"/>
              <w:spacing w:line="384" w:lineRule="auto"/>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其中</w:t>
            </w:r>
          </w:p>
        </w:tc>
        <w:tc>
          <w:tcPr>
            <w:tcW w:w="956" w:type="pct"/>
            <w:gridSpan w:val="2"/>
            <w:shd w:val="clear" w:color="auto" w:fill="auto"/>
            <w:vAlign w:val="center"/>
          </w:tcPr>
          <w:p w14:paraId="15B8BB6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高级职称人员</w:t>
            </w:r>
          </w:p>
        </w:tc>
        <w:tc>
          <w:tcPr>
            <w:tcW w:w="855" w:type="pct"/>
            <w:gridSpan w:val="2"/>
            <w:shd w:val="clear" w:color="auto" w:fill="auto"/>
            <w:vAlign w:val="center"/>
          </w:tcPr>
          <w:p w14:paraId="4A71682D">
            <w:pPr>
              <w:autoSpaceDE w:val="0"/>
              <w:autoSpaceDN w:val="0"/>
              <w:jc w:val="center"/>
              <w:rPr>
                <w:rFonts w:asciiTheme="majorEastAsia" w:hAnsiTheme="majorEastAsia" w:eastAsiaTheme="majorEastAsia" w:cstheme="majorEastAsia"/>
                <w:kern w:val="0"/>
                <w:sz w:val="20"/>
                <w:szCs w:val="22"/>
                <w:lang w:eastAsia="en-US"/>
              </w:rPr>
            </w:pPr>
          </w:p>
        </w:tc>
      </w:tr>
      <w:tr w14:paraId="7E6EF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28132F9E">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成立日期</w:t>
            </w:r>
          </w:p>
        </w:tc>
        <w:tc>
          <w:tcPr>
            <w:tcW w:w="1807" w:type="pct"/>
            <w:gridSpan w:val="3"/>
            <w:shd w:val="clear" w:color="auto" w:fill="auto"/>
            <w:vAlign w:val="center"/>
          </w:tcPr>
          <w:p w14:paraId="6B00EBE7">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4CA90271">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2FE8F2C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中级职称人员</w:t>
            </w:r>
          </w:p>
        </w:tc>
        <w:tc>
          <w:tcPr>
            <w:tcW w:w="855" w:type="pct"/>
            <w:gridSpan w:val="2"/>
            <w:shd w:val="clear" w:color="auto" w:fill="auto"/>
            <w:vAlign w:val="center"/>
          </w:tcPr>
          <w:p w14:paraId="3ECC2607">
            <w:pPr>
              <w:autoSpaceDE w:val="0"/>
              <w:autoSpaceDN w:val="0"/>
              <w:jc w:val="center"/>
              <w:rPr>
                <w:rFonts w:asciiTheme="majorEastAsia" w:hAnsiTheme="majorEastAsia" w:eastAsiaTheme="majorEastAsia" w:cstheme="majorEastAsia"/>
                <w:kern w:val="0"/>
                <w:sz w:val="20"/>
                <w:szCs w:val="22"/>
                <w:lang w:eastAsia="en-US"/>
              </w:rPr>
            </w:pPr>
          </w:p>
        </w:tc>
      </w:tr>
      <w:tr w14:paraId="5346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2F4D6409">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基本账户开户银行</w:t>
            </w:r>
          </w:p>
        </w:tc>
        <w:tc>
          <w:tcPr>
            <w:tcW w:w="1807" w:type="pct"/>
            <w:gridSpan w:val="3"/>
            <w:shd w:val="clear" w:color="auto" w:fill="auto"/>
            <w:vAlign w:val="center"/>
          </w:tcPr>
          <w:p w14:paraId="3DE0FD07">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117DC5E0">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0580981D">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技术人员数量</w:t>
            </w:r>
          </w:p>
        </w:tc>
        <w:tc>
          <w:tcPr>
            <w:tcW w:w="855" w:type="pct"/>
            <w:gridSpan w:val="2"/>
            <w:shd w:val="clear" w:color="auto" w:fill="auto"/>
            <w:vAlign w:val="center"/>
          </w:tcPr>
          <w:p w14:paraId="7FBB5AC3">
            <w:pPr>
              <w:autoSpaceDE w:val="0"/>
              <w:autoSpaceDN w:val="0"/>
              <w:jc w:val="center"/>
              <w:rPr>
                <w:rFonts w:asciiTheme="majorEastAsia" w:hAnsiTheme="majorEastAsia" w:eastAsiaTheme="majorEastAsia" w:cstheme="majorEastAsia"/>
                <w:kern w:val="0"/>
                <w:sz w:val="20"/>
                <w:szCs w:val="22"/>
                <w:lang w:eastAsia="en-US"/>
              </w:rPr>
            </w:pPr>
          </w:p>
        </w:tc>
      </w:tr>
      <w:tr w14:paraId="34E9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318C0012">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基本账户银行账号</w:t>
            </w:r>
          </w:p>
        </w:tc>
        <w:tc>
          <w:tcPr>
            <w:tcW w:w="1807" w:type="pct"/>
            <w:gridSpan w:val="3"/>
            <w:shd w:val="clear" w:color="auto" w:fill="auto"/>
            <w:vAlign w:val="center"/>
          </w:tcPr>
          <w:p w14:paraId="2F0714E7">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284B8BC3">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4DE7134A">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各类注册人员</w:t>
            </w:r>
          </w:p>
        </w:tc>
        <w:tc>
          <w:tcPr>
            <w:tcW w:w="855" w:type="pct"/>
            <w:gridSpan w:val="2"/>
            <w:shd w:val="clear" w:color="auto" w:fill="auto"/>
            <w:vAlign w:val="center"/>
          </w:tcPr>
          <w:p w14:paraId="199D9F70">
            <w:pPr>
              <w:autoSpaceDE w:val="0"/>
              <w:autoSpaceDN w:val="0"/>
              <w:jc w:val="center"/>
              <w:rPr>
                <w:rFonts w:asciiTheme="majorEastAsia" w:hAnsiTheme="majorEastAsia" w:eastAsiaTheme="majorEastAsia" w:cstheme="majorEastAsia"/>
                <w:kern w:val="0"/>
                <w:sz w:val="20"/>
                <w:szCs w:val="22"/>
                <w:lang w:eastAsia="en-US"/>
              </w:rPr>
            </w:pPr>
          </w:p>
        </w:tc>
      </w:tr>
      <w:tr w14:paraId="456A8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1150" w:type="pct"/>
            <w:shd w:val="clear" w:color="auto" w:fill="auto"/>
            <w:vAlign w:val="center"/>
          </w:tcPr>
          <w:p w14:paraId="7FA0A77E">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经营范围</w:t>
            </w:r>
          </w:p>
        </w:tc>
        <w:tc>
          <w:tcPr>
            <w:tcW w:w="3850" w:type="pct"/>
            <w:gridSpan w:val="8"/>
            <w:shd w:val="clear" w:color="auto" w:fill="auto"/>
            <w:vAlign w:val="center"/>
          </w:tcPr>
          <w:p w14:paraId="78CB7AE0">
            <w:pPr>
              <w:autoSpaceDE w:val="0"/>
              <w:autoSpaceDN w:val="0"/>
              <w:jc w:val="center"/>
              <w:rPr>
                <w:rFonts w:asciiTheme="majorEastAsia" w:hAnsiTheme="majorEastAsia" w:eastAsiaTheme="majorEastAsia" w:cstheme="majorEastAsia"/>
                <w:kern w:val="0"/>
                <w:sz w:val="20"/>
                <w:szCs w:val="22"/>
                <w:lang w:eastAsia="en-US"/>
              </w:rPr>
            </w:pPr>
          </w:p>
        </w:tc>
      </w:tr>
      <w:tr w14:paraId="5639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150" w:type="pct"/>
            <w:shd w:val="clear" w:color="auto" w:fill="auto"/>
            <w:vAlign w:val="center"/>
          </w:tcPr>
          <w:p w14:paraId="3ABE42CA">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备注</w:t>
            </w:r>
          </w:p>
        </w:tc>
        <w:tc>
          <w:tcPr>
            <w:tcW w:w="3850" w:type="pct"/>
            <w:gridSpan w:val="8"/>
            <w:shd w:val="clear" w:color="auto" w:fill="auto"/>
            <w:vAlign w:val="center"/>
          </w:tcPr>
          <w:p w14:paraId="035C0280">
            <w:pPr>
              <w:autoSpaceDE w:val="0"/>
              <w:autoSpaceDN w:val="0"/>
              <w:jc w:val="center"/>
              <w:rPr>
                <w:rFonts w:asciiTheme="majorEastAsia" w:hAnsiTheme="majorEastAsia" w:eastAsiaTheme="majorEastAsia" w:cstheme="majorEastAsia"/>
                <w:kern w:val="0"/>
                <w:sz w:val="20"/>
                <w:szCs w:val="22"/>
                <w:lang w:eastAsia="en-US"/>
              </w:rPr>
            </w:pPr>
          </w:p>
        </w:tc>
      </w:tr>
    </w:tbl>
    <w:p w14:paraId="5FF1B628">
      <w:pPr>
        <w:spacing w:line="360" w:lineRule="auto"/>
        <w:jc w:val="center"/>
        <w:rPr>
          <w:rFonts w:asciiTheme="majorEastAsia" w:hAnsiTheme="majorEastAsia" w:eastAsiaTheme="majorEastAsia" w:cstheme="majorEastAsia"/>
          <w:szCs w:val="21"/>
        </w:rPr>
      </w:pPr>
    </w:p>
    <w:p w14:paraId="0E2CA025">
      <w:pPr>
        <w:widowControl/>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p>
    <w:bookmarkEnd w:id="644"/>
    <w:bookmarkEnd w:id="645"/>
    <w:p w14:paraId="532DA5B5">
      <w:pPr>
        <w:pStyle w:val="3"/>
        <w:jc w:val="center"/>
        <w:rPr>
          <w:rFonts w:asciiTheme="majorEastAsia" w:hAnsiTheme="majorEastAsia" w:eastAsiaTheme="majorEastAsia" w:cstheme="majorEastAsia"/>
          <w:bCs/>
          <w:szCs w:val="28"/>
        </w:rPr>
      </w:pPr>
      <w:bookmarkStart w:id="646" w:name="_Toc509218864"/>
      <w:bookmarkStart w:id="647" w:name="_Toc277082660"/>
      <w:bookmarkStart w:id="648" w:name="_Toc430530550"/>
      <w:bookmarkStart w:id="649" w:name="_Toc287620834"/>
      <w:bookmarkStart w:id="650" w:name="_Toc7293"/>
      <w:bookmarkStart w:id="651" w:name="_Toc534185841"/>
      <w:bookmarkStart w:id="652" w:name="_Toc224103515"/>
      <w:bookmarkStart w:id="653" w:name="_Toc287607888"/>
      <w:r>
        <w:rPr>
          <w:rFonts w:hint="eastAsia" w:asciiTheme="majorEastAsia" w:hAnsiTheme="majorEastAsia" w:eastAsiaTheme="majorEastAsia" w:cstheme="majorEastAsia"/>
          <w:szCs w:val="22"/>
        </w:rPr>
        <w:t>四、近年财务状况表</w:t>
      </w:r>
      <w:bookmarkEnd w:id="646"/>
      <w:bookmarkEnd w:id="647"/>
      <w:bookmarkEnd w:id="648"/>
      <w:bookmarkEnd w:id="649"/>
      <w:bookmarkEnd w:id="650"/>
      <w:bookmarkEnd w:id="651"/>
      <w:bookmarkEnd w:id="652"/>
      <w:bookmarkEnd w:id="653"/>
    </w:p>
    <w:p w14:paraId="0AF9A998">
      <w:pPr>
        <w:pStyle w:val="3"/>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bookmarkStart w:id="654" w:name="_Toc30322"/>
    </w:p>
    <w:p w14:paraId="3C40BAC5">
      <w:pPr>
        <w:pStyle w:val="3"/>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2"/>
        </w:rPr>
        <w:t>五、</w:t>
      </w:r>
      <w:bookmarkEnd w:id="654"/>
      <w:r>
        <w:rPr>
          <w:rFonts w:hint="eastAsia" w:asciiTheme="majorEastAsia" w:hAnsiTheme="majorEastAsia" w:eastAsiaTheme="majorEastAsia" w:cstheme="majorEastAsia"/>
          <w:szCs w:val="22"/>
        </w:rPr>
        <w:t>信誉要求</w:t>
      </w:r>
    </w:p>
    <w:p w14:paraId="325CDCE5">
      <w:pPr>
        <w:pStyle w:val="3"/>
        <w:jc w:val="center"/>
        <w:rPr>
          <w:rFonts w:asciiTheme="majorEastAsia" w:hAnsiTheme="majorEastAsia" w:eastAsiaTheme="majorEastAsia" w:cstheme="majorEastAsia"/>
          <w:szCs w:val="21"/>
        </w:rPr>
        <w:sectPr>
          <w:pgSz w:w="11906" w:h="16838"/>
          <w:pgMar w:top="1134" w:right="1134" w:bottom="1134" w:left="1134" w:header="851" w:footer="992" w:gutter="0"/>
          <w:cols w:space="0" w:num="1"/>
          <w:docGrid w:linePitch="312" w:charSpace="0"/>
        </w:sectPr>
      </w:pPr>
    </w:p>
    <w:bookmarkEnd w:id="642"/>
    <w:p w14:paraId="5021C9B4">
      <w:pPr>
        <w:pStyle w:val="3"/>
        <w:jc w:val="center"/>
        <w:rPr>
          <w:rFonts w:asciiTheme="majorEastAsia" w:hAnsiTheme="majorEastAsia" w:eastAsiaTheme="majorEastAsia" w:cstheme="majorEastAsia"/>
          <w:szCs w:val="22"/>
        </w:rPr>
      </w:pPr>
      <w:bookmarkStart w:id="655" w:name="_bookmark173"/>
      <w:bookmarkEnd w:id="655"/>
      <w:bookmarkStart w:id="656" w:name="_Toc1725865"/>
      <w:bookmarkStart w:id="657" w:name="_Toc2955727"/>
      <w:bookmarkStart w:id="658" w:name="_Toc9169"/>
      <w:bookmarkStart w:id="659" w:name="_Toc10675"/>
      <w:bookmarkStart w:id="660" w:name="_Toc22364"/>
      <w:bookmarkStart w:id="661" w:name="_Toc1725787"/>
      <w:bookmarkStart w:id="662" w:name="_Toc2758"/>
      <w:r>
        <w:rPr>
          <w:rFonts w:hint="eastAsia" w:asciiTheme="majorEastAsia" w:hAnsiTheme="majorEastAsia" w:eastAsiaTheme="majorEastAsia" w:cstheme="majorEastAsia"/>
          <w:szCs w:val="22"/>
        </w:rPr>
        <w:t>六、其他资料</w:t>
      </w:r>
      <w:bookmarkEnd w:id="656"/>
      <w:bookmarkEnd w:id="657"/>
      <w:bookmarkEnd w:id="658"/>
      <w:bookmarkEnd w:id="659"/>
      <w:bookmarkEnd w:id="660"/>
      <w:bookmarkEnd w:id="661"/>
      <w:bookmarkEnd w:id="662"/>
      <w:r>
        <w:rPr>
          <w:rFonts w:hint="eastAsia" w:asciiTheme="majorEastAsia" w:hAnsiTheme="majorEastAsia" w:eastAsiaTheme="majorEastAsia" w:cstheme="majorEastAsia"/>
          <w:szCs w:val="22"/>
        </w:rPr>
        <w:t>（如有）</w:t>
      </w:r>
    </w:p>
    <w:p w14:paraId="14B387D0">
      <w:pPr>
        <w:pStyle w:val="156"/>
        <w:adjustRightInd w:val="0"/>
        <w:snapToGrid w:val="0"/>
        <w:spacing w:line="360" w:lineRule="auto"/>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比选申请人认为有必要提供的其他资料</w:t>
      </w:r>
    </w:p>
    <w:sectPr>
      <w:pgSz w:w="11906" w:h="16838"/>
      <w:pgMar w:top="1134" w:right="1134" w:bottom="1134" w:left="113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EF27">
    <w:pPr>
      <w:pStyle w:val="32"/>
      <w:framePr w:wrap="around" w:vAnchor="text" w:hAnchor="margin" w:xAlign="right" w:y="1"/>
      <w:rPr>
        <w:rStyle w:val="54"/>
      </w:rPr>
    </w:pPr>
    <w:r>
      <w:fldChar w:fldCharType="begin"/>
    </w:r>
    <w:r>
      <w:rPr>
        <w:rStyle w:val="54"/>
      </w:rPr>
      <w:instrText xml:space="preserve">PAGE  </w:instrText>
    </w:r>
    <w:r>
      <w:fldChar w:fldCharType="end"/>
    </w:r>
  </w:p>
  <w:p w14:paraId="16358480">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3214">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D70D5DA">
                          <w:pPr>
                            <w:pStyle w:val="3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MwoCAAAT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F5xZYejBj79+Hn//Pf75&#10;weZvoz6d8zml3TlKDP019LQ1iat3tyC/eWbhphF2q64QoWuUqGi+WazMHpUOOD6ClN0HqKiR2AVI&#10;QH2NJopHcjBCp7c5nN9G9YHJ2HIxXyymFJIUGy+xh8jHcoc+vFNgWDQKjvT4CV7sb30YUseU2M3C&#10;Rrct+UXe2n8chDl4VNqgU3UkE+cfmIS+7Kk2OkuoDkQLYdgu+ltkNIDfOetoswpu6SNx1r63JExc&#10;wtHA0ShHQ1hJhQUPnA3mTRiWdedQbxvCHaW/IvE2OtF6mOEkOe1KEua013EZH99T1sNf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BP9JTMKAgAAEwQAAA4AAAAAAAAAAQAgAAAAHgEAAGRy&#10;cy9lMm9Eb2MueG1sUEsFBgAAAAAGAAYAWQEAAJoFAAAAAA==&#10;">
              <v:fill on="f" focussize="0,0"/>
              <v:stroke on="f"/>
              <v:imagedata o:title=""/>
              <o:lock v:ext="edit" aspectratio="f"/>
              <v:textbox inset="0mm,0mm,0mm,0mm" style="mso-fit-shape-to-text:t;">
                <w:txbxContent>
                  <w:p w14:paraId="3D70D5DA">
                    <w:pPr>
                      <w:pStyle w:val="3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2D2F0E5">
                          <w:pPr>
                            <w:pStyle w:val="3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z4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5G2Sp/dQY9ajx7w4fHADLs18D3iZWA8ymPRFPgTjKO7pIq4YIuHpUbWqqhJDHGOzg/jF03Mf&#10;IN4JZ0gyGhpwellUdnyAOKbOKamadbdK6zxBbUmPqFfVu6v84hJCdG1TssjLMOEkTmPvyYrDbpiI&#10;7lx7Qp49LkRDLe4/Jfreot5pd2YjzMZuNg4+qH2HLS9zdfDvDx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OnPhNgBAACxAwAADgAAAAAAAAAB&#10;ACAAAAAiAQAAZHJzL2Uyb0RvYy54bWxQSwUGAAAAAAYABgBZAQAAbAUAAAAA&#10;">
              <v:fill on="f" focussize="0,0"/>
              <v:stroke on="f" weight="1.25pt"/>
              <v:imagedata o:title=""/>
              <o:lock v:ext="edit" aspectratio="f"/>
              <v:textbox inset="0mm,0mm,0mm,0mm" style="mso-fit-shape-to-text:t;">
                <w:txbxContent>
                  <w:p w14:paraId="72D2F0E5">
                    <w:pPr>
                      <w:pStyle w:val="3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942101"/>
    </w:sdtPr>
    <w:sdtContent>
      <w:p w14:paraId="027FF720">
        <w:pPr>
          <w:pStyle w:val="32"/>
          <w:jc w:val="center"/>
        </w:pPr>
        <w:r>
          <w:fldChar w:fldCharType="begin"/>
        </w:r>
        <w:r>
          <w:instrText xml:space="preserve">PAGE   \* MERGEFORMAT</w:instrText>
        </w:r>
        <w:r>
          <w:fldChar w:fldCharType="separate"/>
        </w:r>
        <w:r>
          <w:rPr>
            <w:lang w:val="zh-CN"/>
          </w:rPr>
          <w:t>39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3DB1">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F2BA">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BC00E">
    <w:pPr>
      <w:pStyle w:val="33"/>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2"/>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8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mE2ZWM5ZGFiZGYxMjgwYWJmNThiOGM5MTNiYjQifQ=="/>
  </w:docVars>
  <w:rsids>
    <w:rsidRoot w:val="00172A27"/>
    <w:rsid w:val="000009A5"/>
    <w:rsid w:val="00000ACF"/>
    <w:rsid w:val="00000F50"/>
    <w:rsid w:val="00001019"/>
    <w:rsid w:val="00002C57"/>
    <w:rsid w:val="00003BFC"/>
    <w:rsid w:val="00003D17"/>
    <w:rsid w:val="00004103"/>
    <w:rsid w:val="000055E9"/>
    <w:rsid w:val="00007753"/>
    <w:rsid w:val="000103A5"/>
    <w:rsid w:val="00011566"/>
    <w:rsid w:val="00011D00"/>
    <w:rsid w:val="00012921"/>
    <w:rsid w:val="00013408"/>
    <w:rsid w:val="00013DF8"/>
    <w:rsid w:val="00014EF7"/>
    <w:rsid w:val="00021701"/>
    <w:rsid w:val="00023D54"/>
    <w:rsid w:val="00026994"/>
    <w:rsid w:val="00026E41"/>
    <w:rsid w:val="00026ECC"/>
    <w:rsid w:val="00027600"/>
    <w:rsid w:val="0002761C"/>
    <w:rsid w:val="000277A0"/>
    <w:rsid w:val="00032664"/>
    <w:rsid w:val="000327CD"/>
    <w:rsid w:val="00032D4B"/>
    <w:rsid w:val="00033370"/>
    <w:rsid w:val="00033B7F"/>
    <w:rsid w:val="000343F3"/>
    <w:rsid w:val="00034E7A"/>
    <w:rsid w:val="0003598B"/>
    <w:rsid w:val="00037046"/>
    <w:rsid w:val="00037F2B"/>
    <w:rsid w:val="00042528"/>
    <w:rsid w:val="00042F0C"/>
    <w:rsid w:val="00044D04"/>
    <w:rsid w:val="00046F63"/>
    <w:rsid w:val="00047BB9"/>
    <w:rsid w:val="000511D4"/>
    <w:rsid w:val="00051B39"/>
    <w:rsid w:val="00052690"/>
    <w:rsid w:val="00052A5C"/>
    <w:rsid w:val="00052C34"/>
    <w:rsid w:val="00056841"/>
    <w:rsid w:val="00060891"/>
    <w:rsid w:val="00061029"/>
    <w:rsid w:val="000611FF"/>
    <w:rsid w:val="000648DC"/>
    <w:rsid w:val="00066173"/>
    <w:rsid w:val="00066805"/>
    <w:rsid w:val="000670B5"/>
    <w:rsid w:val="000673A1"/>
    <w:rsid w:val="00067B72"/>
    <w:rsid w:val="000702F3"/>
    <w:rsid w:val="0007167A"/>
    <w:rsid w:val="00071D71"/>
    <w:rsid w:val="00072004"/>
    <w:rsid w:val="00072AE3"/>
    <w:rsid w:val="000730E7"/>
    <w:rsid w:val="00074929"/>
    <w:rsid w:val="00075267"/>
    <w:rsid w:val="00077569"/>
    <w:rsid w:val="000806BC"/>
    <w:rsid w:val="0008125B"/>
    <w:rsid w:val="00083A5A"/>
    <w:rsid w:val="000857C4"/>
    <w:rsid w:val="00085B09"/>
    <w:rsid w:val="000860DE"/>
    <w:rsid w:val="00086422"/>
    <w:rsid w:val="00091622"/>
    <w:rsid w:val="0009207E"/>
    <w:rsid w:val="00092A9D"/>
    <w:rsid w:val="00092AEA"/>
    <w:rsid w:val="00093A45"/>
    <w:rsid w:val="00094A32"/>
    <w:rsid w:val="00094AD6"/>
    <w:rsid w:val="00095A6A"/>
    <w:rsid w:val="0009631C"/>
    <w:rsid w:val="0009668B"/>
    <w:rsid w:val="00096904"/>
    <w:rsid w:val="00096BE3"/>
    <w:rsid w:val="00097A5D"/>
    <w:rsid w:val="000A0E86"/>
    <w:rsid w:val="000A0EC4"/>
    <w:rsid w:val="000A165A"/>
    <w:rsid w:val="000A2339"/>
    <w:rsid w:val="000A26D2"/>
    <w:rsid w:val="000A6D09"/>
    <w:rsid w:val="000A7C54"/>
    <w:rsid w:val="000B109B"/>
    <w:rsid w:val="000B154E"/>
    <w:rsid w:val="000B1C51"/>
    <w:rsid w:val="000B3358"/>
    <w:rsid w:val="000B5C41"/>
    <w:rsid w:val="000C0B84"/>
    <w:rsid w:val="000C15D5"/>
    <w:rsid w:val="000C4561"/>
    <w:rsid w:val="000D014A"/>
    <w:rsid w:val="000D1FFC"/>
    <w:rsid w:val="000D2B39"/>
    <w:rsid w:val="000D5547"/>
    <w:rsid w:val="000D6E8D"/>
    <w:rsid w:val="000E0007"/>
    <w:rsid w:val="000E1BA2"/>
    <w:rsid w:val="000E1F21"/>
    <w:rsid w:val="000E3019"/>
    <w:rsid w:val="000E362E"/>
    <w:rsid w:val="000E3775"/>
    <w:rsid w:val="000E4147"/>
    <w:rsid w:val="000E4DF4"/>
    <w:rsid w:val="000E4E79"/>
    <w:rsid w:val="000E56AB"/>
    <w:rsid w:val="000E7ED2"/>
    <w:rsid w:val="000F0C7F"/>
    <w:rsid w:val="000F1A18"/>
    <w:rsid w:val="000F3B3A"/>
    <w:rsid w:val="000F5B66"/>
    <w:rsid w:val="000F6288"/>
    <w:rsid w:val="000F684B"/>
    <w:rsid w:val="000F6D31"/>
    <w:rsid w:val="001029EA"/>
    <w:rsid w:val="001042CE"/>
    <w:rsid w:val="001062FA"/>
    <w:rsid w:val="00111F00"/>
    <w:rsid w:val="00113555"/>
    <w:rsid w:val="001137E8"/>
    <w:rsid w:val="00114356"/>
    <w:rsid w:val="0011537E"/>
    <w:rsid w:val="00117B55"/>
    <w:rsid w:val="00120E35"/>
    <w:rsid w:val="001244D9"/>
    <w:rsid w:val="00125B50"/>
    <w:rsid w:val="00130FE8"/>
    <w:rsid w:val="00132D42"/>
    <w:rsid w:val="001340D3"/>
    <w:rsid w:val="00134A84"/>
    <w:rsid w:val="0013531A"/>
    <w:rsid w:val="0014026C"/>
    <w:rsid w:val="0014107E"/>
    <w:rsid w:val="001414DD"/>
    <w:rsid w:val="001416DE"/>
    <w:rsid w:val="00141CD2"/>
    <w:rsid w:val="001424C5"/>
    <w:rsid w:val="00145472"/>
    <w:rsid w:val="001455E1"/>
    <w:rsid w:val="00145DD1"/>
    <w:rsid w:val="001470CF"/>
    <w:rsid w:val="00147E1D"/>
    <w:rsid w:val="001518C2"/>
    <w:rsid w:val="00152D2E"/>
    <w:rsid w:val="00153493"/>
    <w:rsid w:val="001534FD"/>
    <w:rsid w:val="00153DA0"/>
    <w:rsid w:val="001542CD"/>
    <w:rsid w:val="00154709"/>
    <w:rsid w:val="0015609F"/>
    <w:rsid w:val="00157C4D"/>
    <w:rsid w:val="00160275"/>
    <w:rsid w:val="00161076"/>
    <w:rsid w:val="00163997"/>
    <w:rsid w:val="001639BD"/>
    <w:rsid w:val="001677CF"/>
    <w:rsid w:val="00171A7A"/>
    <w:rsid w:val="00171B28"/>
    <w:rsid w:val="00171D9F"/>
    <w:rsid w:val="00172A27"/>
    <w:rsid w:val="001739DF"/>
    <w:rsid w:val="00174763"/>
    <w:rsid w:val="00174E24"/>
    <w:rsid w:val="00175BC6"/>
    <w:rsid w:val="00176186"/>
    <w:rsid w:val="001762D5"/>
    <w:rsid w:val="0017692D"/>
    <w:rsid w:val="001775D5"/>
    <w:rsid w:val="0017763E"/>
    <w:rsid w:val="00180B5D"/>
    <w:rsid w:val="001821ED"/>
    <w:rsid w:val="00182762"/>
    <w:rsid w:val="0018560C"/>
    <w:rsid w:val="001901D3"/>
    <w:rsid w:val="00191404"/>
    <w:rsid w:val="00192FCC"/>
    <w:rsid w:val="00195029"/>
    <w:rsid w:val="00195242"/>
    <w:rsid w:val="001959CB"/>
    <w:rsid w:val="00195B0E"/>
    <w:rsid w:val="00196A12"/>
    <w:rsid w:val="001A1233"/>
    <w:rsid w:val="001A1C7A"/>
    <w:rsid w:val="001A1D6A"/>
    <w:rsid w:val="001A2299"/>
    <w:rsid w:val="001A31F3"/>
    <w:rsid w:val="001A32D2"/>
    <w:rsid w:val="001A3FA3"/>
    <w:rsid w:val="001A4FA2"/>
    <w:rsid w:val="001A56BC"/>
    <w:rsid w:val="001A582E"/>
    <w:rsid w:val="001A759D"/>
    <w:rsid w:val="001B0079"/>
    <w:rsid w:val="001B03E6"/>
    <w:rsid w:val="001B06FE"/>
    <w:rsid w:val="001B1FBC"/>
    <w:rsid w:val="001B44B4"/>
    <w:rsid w:val="001B6892"/>
    <w:rsid w:val="001B79B4"/>
    <w:rsid w:val="001C1626"/>
    <w:rsid w:val="001C17F7"/>
    <w:rsid w:val="001C31C7"/>
    <w:rsid w:val="001C4F6E"/>
    <w:rsid w:val="001C77CE"/>
    <w:rsid w:val="001D0200"/>
    <w:rsid w:val="001D10FB"/>
    <w:rsid w:val="001D188A"/>
    <w:rsid w:val="001D1BF0"/>
    <w:rsid w:val="001D29DE"/>
    <w:rsid w:val="001E3FD8"/>
    <w:rsid w:val="001E4017"/>
    <w:rsid w:val="001E417D"/>
    <w:rsid w:val="001E4533"/>
    <w:rsid w:val="001E5AB9"/>
    <w:rsid w:val="001F0FA9"/>
    <w:rsid w:val="001F18CE"/>
    <w:rsid w:val="001F2629"/>
    <w:rsid w:val="001F3BC6"/>
    <w:rsid w:val="00200438"/>
    <w:rsid w:val="002018BB"/>
    <w:rsid w:val="00201E86"/>
    <w:rsid w:val="00202F87"/>
    <w:rsid w:val="002038F8"/>
    <w:rsid w:val="00203B5F"/>
    <w:rsid w:val="00205E14"/>
    <w:rsid w:val="0020765F"/>
    <w:rsid w:val="00210AB2"/>
    <w:rsid w:val="00210B64"/>
    <w:rsid w:val="002116D0"/>
    <w:rsid w:val="00211931"/>
    <w:rsid w:val="0021254F"/>
    <w:rsid w:val="002126EA"/>
    <w:rsid w:val="002138A4"/>
    <w:rsid w:val="00213CD5"/>
    <w:rsid w:val="0021602E"/>
    <w:rsid w:val="002170C6"/>
    <w:rsid w:val="00217FA5"/>
    <w:rsid w:val="00220C6C"/>
    <w:rsid w:val="00221C4B"/>
    <w:rsid w:val="0022217A"/>
    <w:rsid w:val="002240F2"/>
    <w:rsid w:val="00224D62"/>
    <w:rsid w:val="002263C9"/>
    <w:rsid w:val="002266E2"/>
    <w:rsid w:val="002302C1"/>
    <w:rsid w:val="00231D9D"/>
    <w:rsid w:val="0023220F"/>
    <w:rsid w:val="0023226A"/>
    <w:rsid w:val="002324E8"/>
    <w:rsid w:val="00233381"/>
    <w:rsid w:val="00233CAD"/>
    <w:rsid w:val="00234566"/>
    <w:rsid w:val="002346CD"/>
    <w:rsid w:val="00237B24"/>
    <w:rsid w:val="00241CB9"/>
    <w:rsid w:val="00243B29"/>
    <w:rsid w:val="002464AA"/>
    <w:rsid w:val="00246DF9"/>
    <w:rsid w:val="00246FF6"/>
    <w:rsid w:val="00251A37"/>
    <w:rsid w:val="00253A3A"/>
    <w:rsid w:val="002563AE"/>
    <w:rsid w:val="00256D84"/>
    <w:rsid w:val="002601A5"/>
    <w:rsid w:val="00260369"/>
    <w:rsid w:val="002608FC"/>
    <w:rsid w:val="00261006"/>
    <w:rsid w:val="002614A4"/>
    <w:rsid w:val="00263673"/>
    <w:rsid w:val="00263ACC"/>
    <w:rsid w:val="00263BB8"/>
    <w:rsid w:val="00264B2A"/>
    <w:rsid w:val="00264D23"/>
    <w:rsid w:val="002651AC"/>
    <w:rsid w:val="0026668D"/>
    <w:rsid w:val="00267135"/>
    <w:rsid w:val="0027024B"/>
    <w:rsid w:val="0027055C"/>
    <w:rsid w:val="002719FC"/>
    <w:rsid w:val="002728EB"/>
    <w:rsid w:val="00274059"/>
    <w:rsid w:val="00275AC9"/>
    <w:rsid w:val="002772D1"/>
    <w:rsid w:val="0027764E"/>
    <w:rsid w:val="00280B3A"/>
    <w:rsid w:val="002816BF"/>
    <w:rsid w:val="00282971"/>
    <w:rsid w:val="00282B1B"/>
    <w:rsid w:val="00284D05"/>
    <w:rsid w:val="00284ED1"/>
    <w:rsid w:val="00287B07"/>
    <w:rsid w:val="00290780"/>
    <w:rsid w:val="00290FB6"/>
    <w:rsid w:val="00291A41"/>
    <w:rsid w:val="00292750"/>
    <w:rsid w:val="00292822"/>
    <w:rsid w:val="00292DF4"/>
    <w:rsid w:val="002937FA"/>
    <w:rsid w:val="002949CC"/>
    <w:rsid w:val="00294A91"/>
    <w:rsid w:val="0029560B"/>
    <w:rsid w:val="00295E7F"/>
    <w:rsid w:val="00296B32"/>
    <w:rsid w:val="00296BC7"/>
    <w:rsid w:val="0029743B"/>
    <w:rsid w:val="002A07B3"/>
    <w:rsid w:val="002A0C83"/>
    <w:rsid w:val="002A28C0"/>
    <w:rsid w:val="002A3750"/>
    <w:rsid w:val="002A57ED"/>
    <w:rsid w:val="002A69DB"/>
    <w:rsid w:val="002A7287"/>
    <w:rsid w:val="002B18A7"/>
    <w:rsid w:val="002B2829"/>
    <w:rsid w:val="002B2E4A"/>
    <w:rsid w:val="002B557D"/>
    <w:rsid w:val="002B64CE"/>
    <w:rsid w:val="002B78EB"/>
    <w:rsid w:val="002C3675"/>
    <w:rsid w:val="002C3ADE"/>
    <w:rsid w:val="002C3F05"/>
    <w:rsid w:val="002C4603"/>
    <w:rsid w:val="002D295B"/>
    <w:rsid w:val="002D3788"/>
    <w:rsid w:val="002D3B4D"/>
    <w:rsid w:val="002D3C19"/>
    <w:rsid w:val="002D3DDF"/>
    <w:rsid w:val="002D418F"/>
    <w:rsid w:val="002D4467"/>
    <w:rsid w:val="002D51A5"/>
    <w:rsid w:val="002E0FDF"/>
    <w:rsid w:val="002E2084"/>
    <w:rsid w:val="002E3481"/>
    <w:rsid w:val="002E36FD"/>
    <w:rsid w:val="002E3A19"/>
    <w:rsid w:val="002E589B"/>
    <w:rsid w:val="002E732D"/>
    <w:rsid w:val="002E7910"/>
    <w:rsid w:val="002F2ECA"/>
    <w:rsid w:val="002F348E"/>
    <w:rsid w:val="002F56B1"/>
    <w:rsid w:val="002F574D"/>
    <w:rsid w:val="002F69B3"/>
    <w:rsid w:val="002F7E5F"/>
    <w:rsid w:val="003002A4"/>
    <w:rsid w:val="00301420"/>
    <w:rsid w:val="00301D97"/>
    <w:rsid w:val="00302E30"/>
    <w:rsid w:val="003046B1"/>
    <w:rsid w:val="00304747"/>
    <w:rsid w:val="003047BB"/>
    <w:rsid w:val="00310337"/>
    <w:rsid w:val="003135A0"/>
    <w:rsid w:val="00314C47"/>
    <w:rsid w:val="003162EC"/>
    <w:rsid w:val="003203C4"/>
    <w:rsid w:val="003206A6"/>
    <w:rsid w:val="003217C4"/>
    <w:rsid w:val="003228B5"/>
    <w:rsid w:val="003238D8"/>
    <w:rsid w:val="003239FD"/>
    <w:rsid w:val="00324610"/>
    <w:rsid w:val="00324865"/>
    <w:rsid w:val="00324AAD"/>
    <w:rsid w:val="003264D8"/>
    <w:rsid w:val="00327F11"/>
    <w:rsid w:val="003330AD"/>
    <w:rsid w:val="00336BB6"/>
    <w:rsid w:val="003373B6"/>
    <w:rsid w:val="00340553"/>
    <w:rsid w:val="00340B2A"/>
    <w:rsid w:val="0034167D"/>
    <w:rsid w:val="00342F94"/>
    <w:rsid w:val="00343AA0"/>
    <w:rsid w:val="00344CFB"/>
    <w:rsid w:val="00345B93"/>
    <w:rsid w:val="003469FD"/>
    <w:rsid w:val="00352138"/>
    <w:rsid w:val="00352D5C"/>
    <w:rsid w:val="0035330F"/>
    <w:rsid w:val="00355267"/>
    <w:rsid w:val="003555B8"/>
    <w:rsid w:val="00356DE6"/>
    <w:rsid w:val="00360DDD"/>
    <w:rsid w:val="00361BDB"/>
    <w:rsid w:val="00361F7D"/>
    <w:rsid w:val="00361F8F"/>
    <w:rsid w:val="003622F3"/>
    <w:rsid w:val="00362775"/>
    <w:rsid w:val="00362851"/>
    <w:rsid w:val="0036296E"/>
    <w:rsid w:val="00362FFC"/>
    <w:rsid w:val="003630A2"/>
    <w:rsid w:val="00363A7A"/>
    <w:rsid w:val="003643F9"/>
    <w:rsid w:val="003648FB"/>
    <w:rsid w:val="003669C5"/>
    <w:rsid w:val="00366B4F"/>
    <w:rsid w:val="00366C04"/>
    <w:rsid w:val="00370E1B"/>
    <w:rsid w:val="003711E2"/>
    <w:rsid w:val="00372C34"/>
    <w:rsid w:val="00372C37"/>
    <w:rsid w:val="003738B5"/>
    <w:rsid w:val="00375B05"/>
    <w:rsid w:val="00376660"/>
    <w:rsid w:val="00380AC6"/>
    <w:rsid w:val="00381831"/>
    <w:rsid w:val="00381E52"/>
    <w:rsid w:val="00382A66"/>
    <w:rsid w:val="00382DB4"/>
    <w:rsid w:val="00383708"/>
    <w:rsid w:val="00384810"/>
    <w:rsid w:val="0038521A"/>
    <w:rsid w:val="003854E7"/>
    <w:rsid w:val="00385BF9"/>
    <w:rsid w:val="00386EC5"/>
    <w:rsid w:val="00387D39"/>
    <w:rsid w:val="003914C0"/>
    <w:rsid w:val="0039215A"/>
    <w:rsid w:val="003922BD"/>
    <w:rsid w:val="00394A5B"/>
    <w:rsid w:val="00396950"/>
    <w:rsid w:val="003A0380"/>
    <w:rsid w:val="003A1124"/>
    <w:rsid w:val="003A67C1"/>
    <w:rsid w:val="003A703B"/>
    <w:rsid w:val="003A7F3E"/>
    <w:rsid w:val="003B04B7"/>
    <w:rsid w:val="003B2485"/>
    <w:rsid w:val="003B58CD"/>
    <w:rsid w:val="003B7762"/>
    <w:rsid w:val="003B79B3"/>
    <w:rsid w:val="003B7A2F"/>
    <w:rsid w:val="003C0AE4"/>
    <w:rsid w:val="003C0B61"/>
    <w:rsid w:val="003C16AA"/>
    <w:rsid w:val="003C1860"/>
    <w:rsid w:val="003C3D82"/>
    <w:rsid w:val="003C4E8C"/>
    <w:rsid w:val="003C503E"/>
    <w:rsid w:val="003C5607"/>
    <w:rsid w:val="003C7CD4"/>
    <w:rsid w:val="003D0173"/>
    <w:rsid w:val="003D22A1"/>
    <w:rsid w:val="003D3F9D"/>
    <w:rsid w:val="003D4B6C"/>
    <w:rsid w:val="003D608F"/>
    <w:rsid w:val="003D6166"/>
    <w:rsid w:val="003D6DBC"/>
    <w:rsid w:val="003E1BBC"/>
    <w:rsid w:val="003E216F"/>
    <w:rsid w:val="003E493C"/>
    <w:rsid w:val="003E4BAD"/>
    <w:rsid w:val="003E4F75"/>
    <w:rsid w:val="003F0C34"/>
    <w:rsid w:val="003F1A34"/>
    <w:rsid w:val="003F1C6D"/>
    <w:rsid w:val="003F284D"/>
    <w:rsid w:val="003F4519"/>
    <w:rsid w:val="003F5760"/>
    <w:rsid w:val="003F5A6A"/>
    <w:rsid w:val="003F75F5"/>
    <w:rsid w:val="003F7C58"/>
    <w:rsid w:val="00402440"/>
    <w:rsid w:val="00403644"/>
    <w:rsid w:val="00407C89"/>
    <w:rsid w:val="00410B80"/>
    <w:rsid w:val="00410D20"/>
    <w:rsid w:val="004117C5"/>
    <w:rsid w:val="00411880"/>
    <w:rsid w:val="00411EA5"/>
    <w:rsid w:val="00414512"/>
    <w:rsid w:val="00414C95"/>
    <w:rsid w:val="004158A3"/>
    <w:rsid w:val="00416275"/>
    <w:rsid w:val="00416F59"/>
    <w:rsid w:val="00421C76"/>
    <w:rsid w:val="0042207E"/>
    <w:rsid w:val="004234FD"/>
    <w:rsid w:val="00423B06"/>
    <w:rsid w:val="00424229"/>
    <w:rsid w:val="004247F2"/>
    <w:rsid w:val="00426B8B"/>
    <w:rsid w:val="00426EF6"/>
    <w:rsid w:val="00427B95"/>
    <w:rsid w:val="00430209"/>
    <w:rsid w:val="004303A0"/>
    <w:rsid w:val="00430609"/>
    <w:rsid w:val="00430673"/>
    <w:rsid w:val="00432C3F"/>
    <w:rsid w:val="004330D4"/>
    <w:rsid w:val="00433153"/>
    <w:rsid w:val="0043472B"/>
    <w:rsid w:val="00434C65"/>
    <w:rsid w:val="00434E89"/>
    <w:rsid w:val="00435467"/>
    <w:rsid w:val="00436E03"/>
    <w:rsid w:val="00437BA5"/>
    <w:rsid w:val="00437C05"/>
    <w:rsid w:val="004407CC"/>
    <w:rsid w:val="00441B48"/>
    <w:rsid w:val="0044375B"/>
    <w:rsid w:val="00445203"/>
    <w:rsid w:val="00445772"/>
    <w:rsid w:val="00445B88"/>
    <w:rsid w:val="00446352"/>
    <w:rsid w:val="0044667D"/>
    <w:rsid w:val="004467EE"/>
    <w:rsid w:val="00447817"/>
    <w:rsid w:val="004506EA"/>
    <w:rsid w:val="00450DBB"/>
    <w:rsid w:val="004546EC"/>
    <w:rsid w:val="00454944"/>
    <w:rsid w:val="00455B58"/>
    <w:rsid w:val="004563EC"/>
    <w:rsid w:val="004576D6"/>
    <w:rsid w:val="00457F7F"/>
    <w:rsid w:val="00460651"/>
    <w:rsid w:val="00460B11"/>
    <w:rsid w:val="004633A6"/>
    <w:rsid w:val="0046409B"/>
    <w:rsid w:val="00464AF6"/>
    <w:rsid w:val="004651C3"/>
    <w:rsid w:val="004659A5"/>
    <w:rsid w:val="00471E73"/>
    <w:rsid w:val="00471FD3"/>
    <w:rsid w:val="0047332E"/>
    <w:rsid w:val="0047504C"/>
    <w:rsid w:val="004757EB"/>
    <w:rsid w:val="0047584C"/>
    <w:rsid w:val="00475B09"/>
    <w:rsid w:val="00476A83"/>
    <w:rsid w:val="00476FB8"/>
    <w:rsid w:val="004802FC"/>
    <w:rsid w:val="004807A1"/>
    <w:rsid w:val="00481443"/>
    <w:rsid w:val="00481899"/>
    <w:rsid w:val="00481CF9"/>
    <w:rsid w:val="00481F40"/>
    <w:rsid w:val="004853BD"/>
    <w:rsid w:val="004922B7"/>
    <w:rsid w:val="00494022"/>
    <w:rsid w:val="004958A7"/>
    <w:rsid w:val="00495BD4"/>
    <w:rsid w:val="00495E87"/>
    <w:rsid w:val="00496787"/>
    <w:rsid w:val="004968BB"/>
    <w:rsid w:val="0049777E"/>
    <w:rsid w:val="00497FBD"/>
    <w:rsid w:val="004A02D4"/>
    <w:rsid w:val="004A059A"/>
    <w:rsid w:val="004A62AF"/>
    <w:rsid w:val="004A7905"/>
    <w:rsid w:val="004B03E0"/>
    <w:rsid w:val="004B067B"/>
    <w:rsid w:val="004B1C71"/>
    <w:rsid w:val="004B319A"/>
    <w:rsid w:val="004B38E1"/>
    <w:rsid w:val="004B3BC8"/>
    <w:rsid w:val="004B6AD7"/>
    <w:rsid w:val="004C33C8"/>
    <w:rsid w:val="004C357C"/>
    <w:rsid w:val="004C3BE3"/>
    <w:rsid w:val="004C5817"/>
    <w:rsid w:val="004C5D74"/>
    <w:rsid w:val="004C6963"/>
    <w:rsid w:val="004C697B"/>
    <w:rsid w:val="004C6C20"/>
    <w:rsid w:val="004C77B0"/>
    <w:rsid w:val="004C7BEB"/>
    <w:rsid w:val="004D0F95"/>
    <w:rsid w:val="004D1585"/>
    <w:rsid w:val="004D44BE"/>
    <w:rsid w:val="004E1815"/>
    <w:rsid w:val="004E1B59"/>
    <w:rsid w:val="004E1F00"/>
    <w:rsid w:val="004E22BF"/>
    <w:rsid w:val="004E38EC"/>
    <w:rsid w:val="004E6F73"/>
    <w:rsid w:val="004F4C85"/>
    <w:rsid w:val="004F4E78"/>
    <w:rsid w:val="004F5156"/>
    <w:rsid w:val="004F51EF"/>
    <w:rsid w:val="004F6A35"/>
    <w:rsid w:val="00502052"/>
    <w:rsid w:val="00503207"/>
    <w:rsid w:val="00503551"/>
    <w:rsid w:val="00503CAA"/>
    <w:rsid w:val="00505A98"/>
    <w:rsid w:val="00505BC9"/>
    <w:rsid w:val="00505C55"/>
    <w:rsid w:val="00506C80"/>
    <w:rsid w:val="0051222C"/>
    <w:rsid w:val="005124A9"/>
    <w:rsid w:val="00514B5F"/>
    <w:rsid w:val="00515932"/>
    <w:rsid w:val="00515C45"/>
    <w:rsid w:val="005173C0"/>
    <w:rsid w:val="00517A3C"/>
    <w:rsid w:val="00521FE9"/>
    <w:rsid w:val="005224D7"/>
    <w:rsid w:val="00523452"/>
    <w:rsid w:val="00523FCB"/>
    <w:rsid w:val="0052429A"/>
    <w:rsid w:val="00524D62"/>
    <w:rsid w:val="00524F52"/>
    <w:rsid w:val="005255C3"/>
    <w:rsid w:val="00526A17"/>
    <w:rsid w:val="00526F7F"/>
    <w:rsid w:val="0052762E"/>
    <w:rsid w:val="00531732"/>
    <w:rsid w:val="00531CC7"/>
    <w:rsid w:val="00532348"/>
    <w:rsid w:val="00533C0D"/>
    <w:rsid w:val="00535EC8"/>
    <w:rsid w:val="005364C7"/>
    <w:rsid w:val="005372C8"/>
    <w:rsid w:val="0054039C"/>
    <w:rsid w:val="00541382"/>
    <w:rsid w:val="005418CB"/>
    <w:rsid w:val="0054457C"/>
    <w:rsid w:val="005464D7"/>
    <w:rsid w:val="005525DD"/>
    <w:rsid w:val="00556FF3"/>
    <w:rsid w:val="005577D1"/>
    <w:rsid w:val="00557B97"/>
    <w:rsid w:val="00560F19"/>
    <w:rsid w:val="00561379"/>
    <w:rsid w:val="00561575"/>
    <w:rsid w:val="00561E43"/>
    <w:rsid w:val="00563BF2"/>
    <w:rsid w:val="00563F73"/>
    <w:rsid w:val="00565B9E"/>
    <w:rsid w:val="005665C0"/>
    <w:rsid w:val="005669EE"/>
    <w:rsid w:val="00566DCB"/>
    <w:rsid w:val="005675D6"/>
    <w:rsid w:val="005675FE"/>
    <w:rsid w:val="00570088"/>
    <w:rsid w:val="00571099"/>
    <w:rsid w:val="00571B78"/>
    <w:rsid w:val="00573FAD"/>
    <w:rsid w:val="0057478F"/>
    <w:rsid w:val="0057537A"/>
    <w:rsid w:val="0057552B"/>
    <w:rsid w:val="0057586F"/>
    <w:rsid w:val="0057592A"/>
    <w:rsid w:val="00575C48"/>
    <w:rsid w:val="00575F85"/>
    <w:rsid w:val="00576E67"/>
    <w:rsid w:val="005815D2"/>
    <w:rsid w:val="00581C19"/>
    <w:rsid w:val="00583FF4"/>
    <w:rsid w:val="00585608"/>
    <w:rsid w:val="00587D17"/>
    <w:rsid w:val="0059319D"/>
    <w:rsid w:val="0059378C"/>
    <w:rsid w:val="005940AE"/>
    <w:rsid w:val="00594E0B"/>
    <w:rsid w:val="00596C66"/>
    <w:rsid w:val="00597D45"/>
    <w:rsid w:val="005A0D63"/>
    <w:rsid w:val="005A1970"/>
    <w:rsid w:val="005A1974"/>
    <w:rsid w:val="005A2A2B"/>
    <w:rsid w:val="005A34DD"/>
    <w:rsid w:val="005A42F1"/>
    <w:rsid w:val="005A508B"/>
    <w:rsid w:val="005A509F"/>
    <w:rsid w:val="005B2F33"/>
    <w:rsid w:val="005B4342"/>
    <w:rsid w:val="005B666B"/>
    <w:rsid w:val="005B719A"/>
    <w:rsid w:val="005B7FB0"/>
    <w:rsid w:val="005C065E"/>
    <w:rsid w:val="005C0BC1"/>
    <w:rsid w:val="005C1A92"/>
    <w:rsid w:val="005C2162"/>
    <w:rsid w:val="005C2872"/>
    <w:rsid w:val="005C3AF8"/>
    <w:rsid w:val="005C40D5"/>
    <w:rsid w:val="005C491B"/>
    <w:rsid w:val="005D1867"/>
    <w:rsid w:val="005D2243"/>
    <w:rsid w:val="005D27DB"/>
    <w:rsid w:val="005D505E"/>
    <w:rsid w:val="005D52F5"/>
    <w:rsid w:val="005D6B24"/>
    <w:rsid w:val="005D6EBE"/>
    <w:rsid w:val="005D7F7A"/>
    <w:rsid w:val="005E066F"/>
    <w:rsid w:val="005E13C3"/>
    <w:rsid w:val="005E1F47"/>
    <w:rsid w:val="005E21EC"/>
    <w:rsid w:val="005E6F73"/>
    <w:rsid w:val="005E7746"/>
    <w:rsid w:val="005F0809"/>
    <w:rsid w:val="005F1232"/>
    <w:rsid w:val="005F1A32"/>
    <w:rsid w:val="005F2423"/>
    <w:rsid w:val="005F2A37"/>
    <w:rsid w:val="005F5B89"/>
    <w:rsid w:val="005F5E1B"/>
    <w:rsid w:val="00600860"/>
    <w:rsid w:val="00602200"/>
    <w:rsid w:val="00602F5E"/>
    <w:rsid w:val="00604AD1"/>
    <w:rsid w:val="00604B74"/>
    <w:rsid w:val="00607171"/>
    <w:rsid w:val="00607816"/>
    <w:rsid w:val="00610CEE"/>
    <w:rsid w:val="00610F57"/>
    <w:rsid w:val="006119DB"/>
    <w:rsid w:val="0061288A"/>
    <w:rsid w:val="006133A6"/>
    <w:rsid w:val="006138F4"/>
    <w:rsid w:val="0061724B"/>
    <w:rsid w:val="006212DD"/>
    <w:rsid w:val="00621F83"/>
    <w:rsid w:val="00623085"/>
    <w:rsid w:val="006234F8"/>
    <w:rsid w:val="006257A0"/>
    <w:rsid w:val="006260D4"/>
    <w:rsid w:val="00627944"/>
    <w:rsid w:val="00627E24"/>
    <w:rsid w:val="00630B98"/>
    <w:rsid w:val="0063379E"/>
    <w:rsid w:val="0063380C"/>
    <w:rsid w:val="00634F0C"/>
    <w:rsid w:val="00635E36"/>
    <w:rsid w:val="0064050A"/>
    <w:rsid w:val="00641FD9"/>
    <w:rsid w:val="00642E73"/>
    <w:rsid w:val="00643F73"/>
    <w:rsid w:val="006441C2"/>
    <w:rsid w:val="00645071"/>
    <w:rsid w:val="00646AC0"/>
    <w:rsid w:val="00646BC5"/>
    <w:rsid w:val="00646FD9"/>
    <w:rsid w:val="006500E4"/>
    <w:rsid w:val="006506AE"/>
    <w:rsid w:val="00650A09"/>
    <w:rsid w:val="00652BBB"/>
    <w:rsid w:val="00653CE2"/>
    <w:rsid w:val="0065548A"/>
    <w:rsid w:val="00655610"/>
    <w:rsid w:val="00655EE0"/>
    <w:rsid w:val="006564AA"/>
    <w:rsid w:val="006620F4"/>
    <w:rsid w:val="0066237D"/>
    <w:rsid w:val="00662892"/>
    <w:rsid w:val="00662C18"/>
    <w:rsid w:val="00662EFA"/>
    <w:rsid w:val="0066386F"/>
    <w:rsid w:val="00664F88"/>
    <w:rsid w:val="0066586C"/>
    <w:rsid w:val="00666141"/>
    <w:rsid w:val="0066713B"/>
    <w:rsid w:val="00667A95"/>
    <w:rsid w:val="00667D54"/>
    <w:rsid w:val="006704A1"/>
    <w:rsid w:val="00672726"/>
    <w:rsid w:val="006729C0"/>
    <w:rsid w:val="00673285"/>
    <w:rsid w:val="006743B8"/>
    <w:rsid w:val="00674A30"/>
    <w:rsid w:val="00674A9D"/>
    <w:rsid w:val="006812D0"/>
    <w:rsid w:val="00681709"/>
    <w:rsid w:val="00681A1E"/>
    <w:rsid w:val="00682A19"/>
    <w:rsid w:val="00682F05"/>
    <w:rsid w:val="006876DA"/>
    <w:rsid w:val="00687FD3"/>
    <w:rsid w:val="00692686"/>
    <w:rsid w:val="006938E0"/>
    <w:rsid w:val="00694094"/>
    <w:rsid w:val="0069444C"/>
    <w:rsid w:val="0069483D"/>
    <w:rsid w:val="006952F4"/>
    <w:rsid w:val="006965E8"/>
    <w:rsid w:val="00696EFC"/>
    <w:rsid w:val="006A075E"/>
    <w:rsid w:val="006A0A4C"/>
    <w:rsid w:val="006A16AA"/>
    <w:rsid w:val="006A28AA"/>
    <w:rsid w:val="006A3042"/>
    <w:rsid w:val="006A4735"/>
    <w:rsid w:val="006A47FE"/>
    <w:rsid w:val="006A5029"/>
    <w:rsid w:val="006A5366"/>
    <w:rsid w:val="006A66C7"/>
    <w:rsid w:val="006A69B5"/>
    <w:rsid w:val="006A7522"/>
    <w:rsid w:val="006B0CCF"/>
    <w:rsid w:val="006B286C"/>
    <w:rsid w:val="006B3AA9"/>
    <w:rsid w:val="006B484A"/>
    <w:rsid w:val="006B5422"/>
    <w:rsid w:val="006B58E5"/>
    <w:rsid w:val="006B644C"/>
    <w:rsid w:val="006B788D"/>
    <w:rsid w:val="006B7C7D"/>
    <w:rsid w:val="006C0C11"/>
    <w:rsid w:val="006C10CA"/>
    <w:rsid w:val="006C47B1"/>
    <w:rsid w:val="006C4D9D"/>
    <w:rsid w:val="006C65E2"/>
    <w:rsid w:val="006C7B86"/>
    <w:rsid w:val="006D0423"/>
    <w:rsid w:val="006D0DAF"/>
    <w:rsid w:val="006D366D"/>
    <w:rsid w:val="006D3A41"/>
    <w:rsid w:val="006D54A7"/>
    <w:rsid w:val="006D575A"/>
    <w:rsid w:val="006D7438"/>
    <w:rsid w:val="006D76D4"/>
    <w:rsid w:val="006D77F3"/>
    <w:rsid w:val="006E0C09"/>
    <w:rsid w:val="006E1F37"/>
    <w:rsid w:val="006E4BB8"/>
    <w:rsid w:val="006E5576"/>
    <w:rsid w:val="006E5AE1"/>
    <w:rsid w:val="006E5F4A"/>
    <w:rsid w:val="006E6A50"/>
    <w:rsid w:val="006E6FEE"/>
    <w:rsid w:val="006F3C00"/>
    <w:rsid w:val="006F3DFC"/>
    <w:rsid w:val="006F4E38"/>
    <w:rsid w:val="007004A4"/>
    <w:rsid w:val="00700E52"/>
    <w:rsid w:val="00700FD6"/>
    <w:rsid w:val="00702757"/>
    <w:rsid w:val="00702985"/>
    <w:rsid w:val="0070786E"/>
    <w:rsid w:val="00712B96"/>
    <w:rsid w:val="00713A4E"/>
    <w:rsid w:val="0071501E"/>
    <w:rsid w:val="00721749"/>
    <w:rsid w:val="0072526F"/>
    <w:rsid w:val="007265D2"/>
    <w:rsid w:val="0072749D"/>
    <w:rsid w:val="007274BE"/>
    <w:rsid w:val="0073090E"/>
    <w:rsid w:val="007309EB"/>
    <w:rsid w:val="00730E28"/>
    <w:rsid w:val="00731EED"/>
    <w:rsid w:val="007325DC"/>
    <w:rsid w:val="007326F7"/>
    <w:rsid w:val="007327CB"/>
    <w:rsid w:val="007332CE"/>
    <w:rsid w:val="0073450F"/>
    <w:rsid w:val="007348DC"/>
    <w:rsid w:val="00734D3C"/>
    <w:rsid w:val="00735944"/>
    <w:rsid w:val="00735DA0"/>
    <w:rsid w:val="007400C8"/>
    <w:rsid w:val="007409E3"/>
    <w:rsid w:val="00740C13"/>
    <w:rsid w:val="00741F77"/>
    <w:rsid w:val="0074230E"/>
    <w:rsid w:val="0074316B"/>
    <w:rsid w:val="0074350A"/>
    <w:rsid w:val="0074364C"/>
    <w:rsid w:val="0074430D"/>
    <w:rsid w:val="007448EF"/>
    <w:rsid w:val="00745238"/>
    <w:rsid w:val="00745247"/>
    <w:rsid w:val="00747FAD"/>
    <w:rsid w:val="00752429"/>
    <w:rsid w:val="00752B20"/>
    <w:rsid w:val="007535F7"/>
    <w:rsid w:val="00753817"/>
    <w:rsid w:val="007540B1"/>
    <w:rsid w:val="00765563"/>
    <w:rsid w:val="007672BD"/>
    <w:rsid w:val="00767CA0"/>
    <w:rsid w:val="00772176"/>
    <w:rsid w:val="0077231B"/>
    <w:rsid w:val="00773AA2"/>
    <w:rsid w:val="00773C38"/>
    <w:rsid w:val="007741CF"/>
    <w:rsid w:val="0077432C"/>
    <w:rsid w:val="0077500C"/>
    <w:rsid w:val="00780A1C"/>
    <w:rsid w:val="00782CEA"/>
    <w:rsid w:val="0078502D"/>
    <w:rsid w:val="00785930"/>
    <w:rsid w:val="007873C4"/>
    <w:rsid w:val="00790B86"/>
    <w:rsid w:val="00791B89"/>
    <w:rsid w:val="00792497"/>
    <w:rsid w:val="00792F30"/>
    <w:rsid w:val="0079332B"/>
    <w:rsid w:val="00793BB2"/>
    <w:rsid w:val="007953E4"/>
    <w:rsid w:val="00795641"/>
    <w:rsid w:val="00796ADE"/>
    <w:rsid w:val="00797541"/>
    <w:rsid w:val="007A051F"/>
    <w:rsid w:val="007A182B"/>
    <w:rsid w:val="007A197C"/>
    <w:rsid w:val="007A2977"/>
    <w:rsid w:val="007A48F4"/>
    <w:rsid w:val="007A53D3"/>
    <w:rsid w:val="007A5432"/>
    <w:rsid w:val="007A65B0"/>
    <w:rsid w:val="007A7B39"/>
    <w:rsid w:val="007B092F"/>
    <w:rsid w:val="007B0F41"/>
    <w:rsid w:val="007B168E"/>
    <w:rsid w:val="007B1903"/>
    <w:rsid w:val="007B3549"/>
    <w:rsid w:val="007B5DEE"/>
    <w:rsid w:val="007C09F7"/>
    <w:rsid w:val="007C0CF2"/>
    <w:rsid w:val="007C0DC1"/>
    <w:rsid w:val="007C0E22"/>
    <w:rsid w:val="007C3519"/>
    <w:rsid w:val="007C36C3"/>
    <w:rsid w:val="007C4B7F"/>
    <w:rsid w:val="007C4C95"/>
    <w:rsid w:val="007C573D"/>
    <w:rsid w:val="007C5CF3"/>
    <w:rsid w:val="007C632A"/>
    <w:rsid w:val="007C77E5"/>
    <w:rsid w:val="007D3422"/>
    <w:rsid w:val="007D458C"/>
    <w:rsid w:val="007D47CF"/>
    <w:rsid w:val="007D59CE"/>
    <w:rsid w:val="007D6293"/>
    <w:rsid w:val="007D6C7A"/>
    <w:rsid w:val="007D6D56"/>
    <w:rsid w:val="007E1D46"/>
    <w:rsid w:val="007E550A"/>
    <w:rsid w:val="007E6CAE"/>
    <w:rsid w:val="007E72BD"/>
    <w:rsid w:val="007E762E"/>
    <w:rsid w:val="007F512C"/>
    <w:rsid w:val="007F601D"/>
    <w:rsid w:val="007F646A"/>
    <w:rsid w:val="007F6876"/>
    <w:rsid w:val="007F72A3"/>
    <w:rsid w:val="008003F9"/>
    <w:rsid w:val="00800904"/>
    <w:rsid w:val="0080129F"/>
    <w:rsid w:val="00801A8E"/>
    <w:rsid w:val="00803B5C"/>
    <w:rsid w:val="00803FB7"/>
    <w:rsid w:val="00804103"/>
    <w:rsid w:val="0080654B"/>
    <w:rsid w:val="00806986"/>
    <w:rsid w:val="008071D4"/>
    <w:rsid w:val="0081091D"/>
    <w:rsid w:val="0081110B"/>
    <w:rsid w:val="008124ED"/>
    <w:rsid w:val="0081261F"/>
    <w:rsid w:val="00813285"/>
    <w:rsid w:val="00813531"/>
    <w:rsid w:val="00813BBA"/>
    <w:rsid w:val="008148B7"/>
    <w:rsid w:val="00817869"/>
    <w:rsid w:val="008201BD"/>
    <w:rsid w:val="00820D0A"/>
    <w:rsid w:val="00822515"/>
    <w:rsid w:val="008234FC"/>
    <w:rsid w:val="0082431E"/>
    <w:rsid w:val="00824E65"/>
    <w:rsid w:val="00825BDE"/>
    <w:rsid w:val="0082783E"/>
    <w:rsid w:val="0083058B"/>
    <w:rsid w:val="008319FC"/>
    <w:rsid w:val="008324C9"/>
    <w:rsid w:val="008354A2"/>
    <w:rsid w:val="00835CCD"/>
    <w:rsid w:val="0083624A"/>
    <w:rsid w:val="00836B49"/>
    <w:rsid w:val="00837860"/>
    <w:rsid w:val="00840066"/>
    <w:rsid w:val="008404A0"/>
    <w:rsid w:val="0084062B"/>
    <w:rsid w:val="00840696"/>
    <w:rsid w:val="00840744"/>
    <w:rsid w:val="008429A5"/>
    <w:rsid w:val="00844635"/>
    <w:rsid w:val="00846044"/>
    <w:rsid w:val="0084748E"/>
    <w:rsid w:val="00850AE1"/>
    <w:rsid w:val="00851512"/>
    <w:rsid w:val="0085227F"/>
    <w:rsid w:val="00852A9F"/>
    <w:rsid w:val="00853373"/>
    <w:rsid w:val="00854173"/>
    <w:rsid w:val="00854AEC"/>
    <w:rsid w:val="00855BBE"/>
    <w:rsid w:val="00857444"/>
    <w:rsid w:val="00864C65"/>
    <w:rsid w:val="0086773F"/>
    <w:rsid w:val="008677B5"/>
    <w:rsid w:val="008709A4"/>
    <w:rsid w:val="00871A32"/>
    <w:rsid w:val="00872543"/>
    <w:rsid w:val="00874A5E"/>
    <w:rsid w:val="008759FD"/>
    <w:rsid w:val="00876929"/>
    <w:rsid w:val="008777D9"/>
    <w:rsid w:val="00877CB1"/>
    <w:rsid w:val="00883CF7"/>
    <w:rsid w:val="00883F44"/>
    <w:rsid w:val="00886455"/>
    <w:rsid w:val="0088704B"/>
    <w:rsid w:val="008909BB"/>
    <w:rsid w:val="00890B5B"/>
    <w:rsid w:val="00890D8A"/>
    <w:rsid w:val="00890E98"/>
    <w:rsid w:val="00891335"/>
    <w:rsid w:val="00891344"/>
    <w:rsid w:val="00892869"/>
    <w:rsid w:val="00893215"/>
    <w:rsid w:val="00893BAA"/>
    <w:rsid w:val="00894D37"/>
    <w:rsid w:val="00895931"/>
    <w:rsid w:val="008A4313"/>
    <w:rsid w:val="008A5912"/>
    <w:rsid w:val="008A684A"/>
    <w:rsid w:val="008A6BCA"/>
    <w:rsid w:val="008A6D61"/>
    <w:rsid w:val="008A6DBA"/>
    <w:rsid w:val="008B013A"/>
    <w:rsid w:val="008B01BC"/>
    <w:rsid w:val="008B27D7"/>
    <w:rsid w:val="008B3AA9"/>
    <w:rsid w:val="008B4403"/>
    <w:rsid w:val="008B547A"/>
    <w:rsid w:val="008C0852"/>
    <w:rsid w:val="008C2EB0"/>
    <w:rsid w:val="008C3570"/>
    <w:rsid w:val="008C475B"/>
    <w:rsid w:val="008C50C8"/>
    <w:rsid w:val="008C5163"/>
    <w:rsid w:val="008C5699"/>
    <w:rsid w:val="008C5BBE"/>
    <w:rsid w:val="008C6A46"/>
    <w:rsid w:val="008D198E"/>
    <w:rsid w:val="008D1E75"/>
    <w:rsid w:val="008D2FCD"/>
    <w:rsid w:val="008D31FC"/>
    <w:rsid w:val="008D3BF2"/>
    <w:rsid w:val="008D3DBC"/>
    <w:rsid w:val="008D685B"/>
    <w:rsid w:val="008D6FA7"/>
    <w:rsid w:val="008D718D"/>
    <w:rsid w:val="008D75B1"/>
    <w:rsid w:val="008D77F8"/>
    <w:rsid w:val="008D7D5F"/>
    <w:rsid w:val="008D7FE4"/>
    <w:rsid w:val="008E0131"/>
    <w:rsid w:val="008E04BB"/>
    <w:rsid w:val="008E0C15"/>
    <w:rsid w:val="008E16D0"/>
    <w:rsid w:val="008E1727"/>
    <w:rsid w:val="008E1B79"/>
    <w:rsid w:val="008E1F62"/>
    <w:rsid w:val="008E23F5"/>
    <w:rsid w:val="008E35AE"/>
    <w:rsid w:val="008E4691"/>
    <w:rsid w:val="008E5575"/>
    <w:rsid w:val="008E7CCA"/>
    <w:rsid w:val="008E7FBC"/>
    <w:rsid w:val="008F165F"/>
    <w:rsid w:val="008F1BD2"/>
    <w:rsid w:val="008F2426"/>
    <w:rsid w:val="008F255B"/>
    <w:rsid w:val="008F314D"/>
    <w:rsid w:val="008F3BE5"/>
    <w:rsid w:val="008F3FAB"/>
    <w:rsid w:val="008F4EF8"/>
    <w:rsid w:val="008F68D7"/>
    <w:rsid w:val="009001DA"/>
    <w:rsid w:val="009002F3"/>
    <w:rsid w:val="00900B73"/>
    <w:rsid w:val="009023C7"/>
    <w:rsid w:val="009041FC"/>
    <w:rsid w:val="00904905"/>
    <w:rsid w:val="00906CF8"/>
    <w:rsid w:val="00913FA4"/>
    <w:rsid w:val="0091566F"/>
    <w:rsid w:val="00916CCD"/>
    <w:rsid w:val="00921895"/>
    <w:rsid w:val="00921CC0"/>
    <w:rsid w:val="00924D67"/>
    <w:rsid w:val="009262EC"/>
    <w:rsid w:val="00926566"/>
    <w:rsid w:val="00927394"/>
    <w:rsid w:val="009306A4"/>
    <w:rsid w:val="009315F1"/>
    <w:rsid w:val="009325DD"/>
    <w:rsid w:val="009325FF"/>
    <w:rsid w:val="00933D67"/>
    <w:rsid w:val="00934BD2"/>
    <w:rsid w:val="009350AF"/>
    <w:rsid w:val="009364F3"/>
    <w:rsid w:val="009413AD"/>
    <w:rsid w:val="00942137"/>
    <w:rsid w:val="00943141"/>
    <w:rsid w:val="00944907"/>
    <w:rsid w:val="00946099"/>
    <w:rsid w:val="0095105F"/>
    <w:rsid w:val="00951464"/>
    <w:rsid w:val="009527D6"/>
    <w:rsid w:val="00953DC6"/>
    <w:rsid w:val="00954D1F"/>
    <w:rsid w:val="009562BF"/>
    <w:rsid w:val="00957CCE"/>
    <w:rsid w:val="0096082B"/>
    <w:rsid w:val="00960C4F"/>
    <w:rsid w:val="00964BCE"/>
    <w:rsid w:val="009654EC"/>
    <w:rsid w:val="0096623C"/>
    <w:rsid w:val="00966349"/>
    <w:rsid w:val="00966E7B"/>
    <w:rsid w:val="009671B0"/>
    <w:rsid w:val="009679ED"/>
    <w:rsid w:val="009706AE"/>
    <w:rsid w:val="00975340"/>
    <w:rsid w:val="0098002B"/>
    <w:rsid w:val="00981B32"/>
    <w:rsid w:val="00982D44"/>
    <w:rsid w:val="00983299"/>
    <w:rsid w:val="00985E97"/>
    <w:rsid w:val="009868A3"/>
    <w:rsid w:val="009874D7"/>
    <w:rsid w:val="00987519"/>
    <w:rsid w:val="0099010E"/>
    <w:rsid w:val="00990B9F"/>
    <w:rsid w:val="00993169"/>
    <w:rsid w:val="009943C8"/>
    <w:rsid w:val="009955E3"/>
    <w:rsid w:val="00995C3A"/>
    <w:rsid w:val="00997ACF"/>
    <w:rsid w:val="00997F8C"/>
    <w:rsid w:val="009A00C1"/>
    <w:rsid w:val="009A060A"/>
    <w:rsid w:val="009A1CA1"/>
    <w:rsid w:val="009A2360"/>
    <w:rsid w:val="009A3E83"/>
    <w:rsid w:val="009A4224"/>
    <w:rsid w:val="009A45C2"/>
    <w:rsid w:val="009A4C3C"/>
    <w:rsid w:val="009A52F9"/>
    <w:rsid w:val="009A5DED"/>
    <w:rsid w:val="009A673B"/>
    <w:rsid w:val="009A7466"/>
    <w:rsid w:val="009B066B"/>
    <w:rsid w:val="009B0F72"/>
    <w:rsid w:val="009B393E"/>
    <w:rsid w:val="009B7F62"/>
    <w:rsid w:val="009C1F2D"/>
    <w:rsid w:val="009C24A4"/>
    <w:rsid w:val="009C41EF"/>
    <w:rsid w:val="009C4921"/>
    <w:rsid w:val="009C59C8"/>
    <w:rsid w:val="009C5B55"/>
    <w:rsid w:val="009C65DC"/>
    <w:rsid w:val="009C7FB9"/>
    <w:rsid w:val="009D0C8B"/>
    <w:rsid w:val="009D13A3"/>
    <w:rsid w:val="009D17B1"/>
    <w:rsid w:val="009D3795"/>
    <w:rsid w:val="009D4133"/>
    <w:rsid w:val="009D52DC"/>
    <w:rsid w:val="009D613A"/>
    <w:rsid w:val="009E0012"/>
    <w:rsid w:val="009E0CE7"/>
    <w:rsid w:val="009E1741"/>
    <w:rsid w:val="009E25FB"/>
    <w:rsid w:val="009E3547"/>
    <w:rsid w:val="009E3B87"/>
    <w:rsid w:val="009E5C3C"/>
    <w:rsid w:val="009E5E1C"/>
    <w:rsid w:val="009E64E7"/>
    <w:rsid w:val="009E6F35"/>
    <w:rsid w:val="009E6FD4"/>
    <w:rsid w:val="009E72E2"/>
    <w:rsid w:val="009F0088"/>
    <w:rsid w:val="009F0587"/>
    <w:rsid w:val="009F0D75"/>
    <w:rsid w:val="009F0D98"/>
    <w:rsid w:val="009F302B"/>
    <w:rsid w:val="009F3CDC"/>
    <w:rsid w:val="009F61B0"/>
    <w:rsid w:val="009F67BE"/>
    <w:rsid w:val="009F76FF"/>
    <w:rsid w:val="009F7883"/>
    <w:rsid w:val="00A049A7"/>
    <w:rsid w:val="00A05EA9"/>
    <w:rsid w:val="00A06411"/>
    <w:rsid w:val="00A06C18"/>
    <w:rsid w:val="00A06C9E"/>
    <w:rsid w:val="00A07F6E"/>
    <w:rsid w:val="00A110D8"/>
    <w:rsid w:val="00A11A1F"/>
    <w:rsid w:val="00A13574"/>
    <w:rsid w:val="00A14253"/>
    <w:rsid w:val="00A16A45"/>
    <w:rsid w:val="00A17AB9"/>
    <w:rsid w:val="00A21E88"/>
    <w:rsid w:val="00A22C83"/>
    <w:rsid w:val="00A22ED6"/>
    <w:rsid w:val="00A2329E"/>
    <w:rsid w:val="00A25F0D"/>
    <w:rsid w:val="00A30006"/>
    <w:rsid w:val="00A314EB"/>
    <w:rsid w:val="00A327E2"/>
    <w:rsid w:val="00A33C39"/>
    <w:rsid w:val="00A33D17"/>
    <w:rsid w:val="00A34FA5"/>
    <w:rsid w:val="00A36906"/>
    <w:rsid w:val="00A37078"/>
    <w:rsid w:val="00A377A7"/>
    <w:rsid w:val="00A37E73"/>
    <w:rsid w:val="00A407D8"/>
    <w:rsid w:val="00A41B1A"/>
    <w:rsid w:val="00A41EAB"/>
    <w:rsid w:val="00A42A8D"/>
    <w:rsid w:val="00A42E48"/>
    <w:rsid w:val="00A43171"/>
    <w:rsid w:val="00A440A8"/>
    <w:rsid w:val="00A44C4B"/>
    <w:rsid w:val="00A44EAB"/>
    <w:rsid w:val="00A45ECF"/>
    <w:rsid w:val="00A461E1"/>
    <w:rsid w:val="00A477EF"/>
    <w:rsid w:val="00A47BC0"/>
    <w:rsid w:val="00A47DC7"/>
    <w:rsid w:val="00A51409"/>
    <w:rsid w:val="00A53841"/>
    <w:rsid w:val="00A5483F"/>
    <w:rsid w:val="00A558C9"/>
    <w:rsid w:val="00A560A8"/>
    <w:rsid w:val="00A611B5"/>
    <w:rsid w:val="00A6176F"/>
    <w:rsid w:val="00A62377"/>
    <w:rsid w:val="00A63D0D"/>
    <w:rsid w:val="00A646BF"/>
    <w:rsid w:val="00A655BE"/>
    <w:rsid w:val="00A665CC"/>
    <w:rsid w:val="00A7095F"/>
    <w:rsid w:val="00A711DA"/>
    <w:rsid w:val="00A71591"/>
    <w:rsid w:val="00A730A5"/>
    <w:rsid w:val="00A74FBE"/>
    <w:rsid w:val="00A755F0"/>
    <w:rsid w:val="00A80227"/>
    <w:rsid w:val="00A81E72"/>
    <w:rsid w:val="00A81E92"/>
    <w:rsid w:val="00A82220"/>
    <w:rsid w:val="00A851E1"/>
    <w:rsid w:val="00A8602A"/>
    <w:rsid w:val="00A86593"/>
    <w:rsid w:val="00A86D22"/>
    <w:rsid w:val="00A87164"/>
    <w:rsid w:val="00A87285"/>
    <w:rsid w:val="00A87698"/>
    <w:rsid w:val="00A92706"/>
    <w:rsid w:val="00A94D85"/>
    <w:rsid w:val="00A953FD"/>
    <w:rsid w:val="00AA0171"/>
    <w:rsid w:val="00AA0FEF"/>
    <w:rsid w:val="00AA1604"/>
    <w:rsid w:val="00AA1780"/>
    <w:rsid w:val="00AA2988"/>
    <w:rsid w:val="00AA4473"/>
    <w:rsid w:val="00AA44CF"/>
    <w:rsid w:val="00AB169B"/>
    <w:rsid w:val="00AB1E69"/>
    <w:rsid w:val="00AB2282"/>
    <w:rsid w:val="00AB24CB"/>
    <w:rsid w:val="00AB4601"/>
    <w:rsid w:val="00AB601A"/>
    <w:rsid w:val="00AB73F1"/>
    <w:rsid w:val="00AB7E7B"/>
    <w:rsid w:val="00AC0143"/>
    <w:rsid w:val="00AC018A"/>
    <w:rsid w:val="00AC03B1"/>
    <w:rsid w:val="00AC06A0"/>
    <w:rsid w:val="00AC1100"/>
    <w:rsid w:val="00AC1361"/>
    <w:rsid w:val="00AC173B"/>
    <w:rsid w:val="00AC1C8F"/>
    <w:rsid w:val="00AC321A"/>
    <w:rsid w:val="00AC34D4"/>
    <w:rsid w:val="00AC7628"/>
    <w:rsid w:val="00AC7AA0"/>
    <w:rsid w:val="00AC7D9D"/>
    <w:rsid w:val="00AD145A"/>
    <w:rsid w:val="00AD1988"/>
    <w:rsid w:val="00AD1FB0"/>
    <w:rsid w:val="00AD20B4"/>
    <w:rsid w:val="00AD777D"/>
    <w:rsid w:val="00AE2A50"/>
    <w:rsid w:val="00AE5785"/>
    <w:rsid w:val="00AE693E"/>
    <w:rsid w:val="00AE7331"/>
    <w:rsid w:val="00AF140A"/>
    <w:rsid w:val="00AF175A"/>
    <w:rsid w:val="00AF1DAD"/>
    <w:rsid w:val="00AF2848"/>
    <w:rsid w:val="00AF3246"/>
    <w:rsid w:val="00AF33BC"/>
    <w:rsid w:val="00AF41F5"/>
    <w:rsid w:val="00AF4EB4"/>
    <w:rsid w:val="00AF6188"/>
    <w:rsid w:val="00B0207E"/>
    <w:rsid w:val="00B02B77"/>
    <w:rsid w:val="00B05C40"/>
    <w:rsid w:val="00B060F5"/>
    <w:rsid w:val="00B0721B"/>
    <w:rsid w:val="00B105B3"/>
    <w:rsid w:val="00B109CC"/>
    <w:rsid w:val="00B11A49"/>
    <w:rsid w:val="00B12EBC"/>
    <w:rsid w:val="00B17002"/>
    <w:rsid w:val="00B1711C"/>
    <w:rsid w:val="00B17315"/>
    <w:rsid w:val="00B17394"/>
    <w:rsid w:val="00B2017A"/>
    <w:rsid w:val="00B20E28"/>
    <w:rsid w:val="00B218DB"/>
    <w:rsid w:val="00B225A8"/>
    <w:rsid w:val="00B23B2C"/>
    <w:rsid w:val="00B2482D"/>
    <w:rsid w:val="00B249D0"/>
    <w:rsid w:val="00B2501D"/>
    <w:rsid w:val="00B26275"/>
    <w:rsid w:val="00B26C9C"/>
    <w:rsid w:val="00B277BD"/>
    <w:rsid w:val="00B27E60"/>
    <w:rsid w:val="00B30477"/>
    <w:rsid w:val="00B32F3E"/>
    <w:rsid w:val="00B32FD4"/>
    <w:rsid w:val="00B346E6"/>
    <w:rsid w:val="00B37DDF"/>
    <w:rsid w:val="00B42D13"/>
    <w:rsid w:val="00B42ED6"/>
    <w:rsid w:val="00B4326E"/>
    <w:rsid w:val="00B4352C"/>
    <w:rsid w:val="00B437F2"/>
    <w:rsid w:val="00B43E56"/>
    <w:rsid w:val="00B44DD0"/>
    <w:rsid w:val="00B47D8C"/>
    <w:rsid w:val="00B47EC3"/>
    <w:rsid w:val="00B516A6"/>
    <w:rsid w:val="00B52772"/>
    <w:rsid w:val="00B54984"/>
    <w:rsid w:val="00B555C0"/>
    <w:rsid w:val="00B55D98"/>
    <w:rsid w:val="00B56244"/>
    <w:rsid w:val="00B56E12"/>
    <w:rsid w:val="00B575B0"/>
    <w:rsid w:val="00B57799"/>
    <w:rsid w:val="00B57DE6"/>
    <w:rsid w:val="00B6117C"/>
    <w:rsid w:val="00B6353A"/>
    <w:rsid w:val="00B65354"/>
    <w:rsid w:val="00B65C4E"/>
    <w:rsid w:val="00B7011B"/>
    <w:rsid w:val="00B709B5"/>
    <w:rsid w:val="00B70DB4"/>
    <w:rsid w:val="00B71646"/>
    <w:rsid w:val="00B73029"/>
    <w:rsid w:val="00B736F4"/>
    <w:rsid w:val="00B73E5B"/>
    <w:rsid w:val="00B763F9"/>
    <w:rsid w:val="00B77DE6"/>
    <w:rsid w:val="00B83B85"/>
    <w:rsid w:val="00B85072"/>
    <w:rsid w:val="00B85C61"/>
    <w:rsid w:val="00B86883"/>
    <w:rsid w:val="00B87820"/>
    <w:rsid w:val="00B909D4"/>
    <w:rsid w:val="00B918F2"/>
    <w:rsid w:val="00B93C54"/>
    <w:rsid w:val="00B95EB1"/>
    <w:rsid w:val="00B96E71"/>
    <w:rsid w:val="00B96EF5"/>
    <w:rsid w:val="00B97F54"/>
    <w:rsid w:val="00BA3210"/>
    <w:rsid w:val="00BA32C2"/>
    <w:rsid w:val="00BA3BD3"/>
    <w:rsid w:val="00BA489A"/>
    <w:rsid w:val="00BA4F58"/>
    <w:rsid w:val="00BA59C1"/>
    <w:rsid w:val="00BA5BC4"/>
    <w:rsid w:val="00BA79F0"/>
    <w:rsid w:val="00BB09B4"/>
    <w:rsid w:val="00BB0FCD"/>
    <w:rsid w:val="00BB367F"/>
    <w:rsid w:val="00BB51D3"/>
    <w:rsid w:val="00BB5DEE"/>
    <w:rsid w:val="00BB71A0"/>
    <w:rsid w:val="00BB7A86"/>
    <w:rsid w:val="00BC17E8"/>
    <w:rsid w:val="00BC299C"/>
    <w:rsid w:val="00BC34AB"/>
    <w:rsid w:val="00BC3B5C"/>
    <w:rsid w:val="00BC3DB9"/>
    <w:rsid w:val="00BC4A08"/>
    <w:rsid w:val="00BC4BA3"/>
    <w:rsid w:val="00BC568E"/>
    <w:rsid w:val="00BC5FB6"/>
    <w:rsid w:val="00BC697F"/>
    <w:rsid w:val="00BC7479"/>
    <w:rsid w:val="00BC7CB8"/>
    <w:rsid w:val="00BD0C77"/>
    <w:rsid w:val="00BD185D"/>
    <w:rsid w:val="00BD259D"/>
    <w:rsid w:val="00BD25E9"/>
    <w:rsid w:val="00BD2E72"/>
    <w:rsid w:val="00BD2F49"/>
    <w:rsid w:val="00BD60D1"/>
    <w:rsid w:val="00BD75FB"/>
    <w:rsid w:val="00BE0259"/>
    <w:rsid w:val="00BE05F7"/>
    <w:rsid w:val="00BE2E2B"/>
    <w:rsid w:val="00BE5FF7"/>
    <w:rsid w:val="00BE68FC"/>
    <w:rsid w:val="00BE6F2A"/>
    <w:rsid w:val="00BE73D7"/>
    <w:rsid w:val="00BE7E62"/>
    <w:rsid w:val="00BF0285"/>
    <w:rsid w:val="00BF1F8D"/>
    <w:rsid w:val="00BF2FDE"/>
    <w:rsid w:val="00BF3177"/>
    <w:rsid w:val="00BF3A1A"/>
    <w:rsid w:val="00BF42FA"/>
    <w:rsid w:val="00BF475F"/>
    <w:rsid w:val="00BF586C"/>
    <w:rsid w:val="00BF7E12"/>
    <w:rsid w:val="00BF7EB1"/>
    <w:rsid w:val="00C00EAB"/>
    <w:rsid w:val="00C035A1"/>
    <w:rsid w:val="00C0424C"/>
    <w:rsid w:val="00C04531"/>
    <w:rsid w:val="00C05155"/>
    <w:rsid w:val="00C07335"/>
    <w:rsid w:val="00C106CB"/>
    <w:rsid w:val="00C108FC"/>
    <w:rsid w:val="00C10D88"/>
    <w:rsid w:val="00C12076"/>
    <w:rsid w:val="00C12E15"/>
    <w:rsid w:val="00C13C9D"/>
    <w:rsid w:val="00C14D7A"/>
    <w:rsid w:val="00C14EE9"/>
    <w:rsid w:val="00C16299"/>
    <w:rsid w:val="00C17195"/>
    <w:rsid w:val="00C20E3F"/>
    <w:rsid w:val="00C236E8"/>
    <w:rsid w:val="00C2413E"/>
    <w:rsid w:val="00C255F4"/>
    <w:rsid w:val="00C2568C"/>
    <w:rsid w:val="00C2588D"/>
    <w:rsid w:val="00C25B01"/>
    <w:rsid w:val="00C266C0"/>
    <w:rsid w:val="00C26E0B"/>
    <w:rsid w:val="00C27484"/>
    <w:rsid w:val="00C27724"/>
    <w:rsid w:val="00C30923"/>
    <w:rsid w:val="00C311B7"/>
    <w:rsid w:val="00C31980"/>
    <w:rsid w:val="00C32A46"/>
    <w:rsid w:val="00C32D7E"/>
    <w:rsid w:val="00C35D18"/>
    <w:rsid w:val="00C4406A"/>
    <w:rsid w:val="00C44B4D"/>
    <w:rsid w:val="00C504A1"/>
    <w:rsid w:val="00C50FB8"/>
    <w:rsid w:val="00C512DE"/>
    <w:rsid w:val="00C51AF8"/>
    <w:rsid w:val="00C52A46"/>
    <w:rsid w:val="00C530F1"/>
    <w:rsid w:val="00C54A5F"/>
    <w:rsid w:val="00C5706A"/>
    <w:rsid w:val="00C576DD"/>
    <w:rsid w:val="00C60FCD"/>
    <w:rsid w:val="00C61ABB"/>
    <w:rsid w:val="00C62B5B"/>
    <w:rsid w:val="00C64A09"/>
    <w:rsid w:val="00C65463"/>
    <w:rsid w:val="00C667B6"/>
    <w:rsid w:val="00C7107F"/>
    <w:rsid w:val="00C714AF"/>
    <w:rsid w:val="00C7368B"/>
    <w:rsid w:val="00C736BD"/>
    <w:rsid w:val="00C73EA6"/>
    <w:rsid w:val="00C74AB7"/>
    <w:rsid w:val="00C74BE3"/>
    <w:rsid w:val="00C75FB7"/>
    <w:rsid w:val="00C77033"/>
    <w:rsid w:val="00C774B3"/>
    <w:rsid w:val="00C77EF1"/>
    <w:rsid w:val="00C81C2E"/>
    <w:rsid w:val="00C848C4"/>
    <w:rsid w:val="00C84AF2"/>
    <w:rsid w:val="00C8695B"/>
    <w:rsid w:val="00C876D1"/>
    <w:rsid w:val="00C900E9"/>
    <w:rsid w:val="00C91397"/>
    <w:rsid w:val="00C922A3"/>
    <w:rsid w:val="00C92A8D"/>
    <w:rsid w:val="00C969C5"/>
    <w:rsid w:val="00C970D1"/>
    <w:rsid w:val="00CA164E"/>
    <w:rsid w:val="00CA17F5"/>
    <w:rsid w:val="00CA1C13"/>
    <w:rsid w:val="00CA1C28"/>
    <w:rsid w:val="00CA2F6B"/>
    <w:rsid w:val="00CA5CBD"/>
    <w:rsid w:val="00CA69E8"/>
    <w:rsid w:val="00CA6B1B"/>
    <w:rsid w:val="00CA6C9B"/>
    <w:rsid w:val="00CB19D9"/>
    <w:rsid w:val="00CB2166"/>
    <w:rsid w:val="00CB2BDE"/>
    <w:rsid w:val="00CB3BD5"/>
    <w:rsid w:val="00CB474A"/>
    <w:rsid w:val="00CB4C23"/>
    <w:rsid w:val="00CB55E8"/>
    <w:rsid w:val="00CB5F8C"/>
    <w:rsid w:val="00CB6699"/>
    <w:rsid w:val="00CB68FE"/>
    <w:rsid w:val="00CB7048"/>
    <w:rsid w:val="00CB7878"/>
    <w:rsid w:val="00CC0F23"/>
    <w:rsid w:val="00CC1202"/>
    <w:rsid w:val="00CC367F"/>
    <w:rsid w:val="00CC5A36"/>
    <w:rsid w:val="00CC5C2F"/>
    <w:rsid w:val="00CC71E4"/>
    <w:rsid w:val="00CC77B6"/>
    <w:rsid w:val="00CC7E8D"/>
    <w:rsid w:val="00CD0733"/>
    <w:rsid w:val="00CD46A9"/>
    <w:rsid w:val="00CD6AD7"/>
    <w:rsid w:val="00CD7E22"/>
    <w:rsid w:val="00CE1351"/>
    <w:rsid w:val="00CE2617"/>
    <w:rsid w:val="00CE49DE"/>
    <w:rsid w:val="00CE50D5"/>
    <w:rsid w:val="00CE52F8"/>
    <w:rsid w:val="00CF0D76"/>
    <w:rsid w:val="00CF1B0F"/>
    <w:rsid w:val="00CF459F"/>
    <w:rsid w:val="00CF4DC4"/>
    <w:rsid w:val="00CF5808"/>
    <w:rsid w:val="00CF6FC9"/>
    <w:rsid w:val="00CF6FFB"/>
    <w:rsid w:val="00D0195A"/>
    <w:rsid w:val="00D03A0D"/>
    <w:rsid w:val="00D06107"/>
    <w:rsid w:val="00D07E57"/>
    <w:rsid w:val="00D1083F"/>
    <w:rsid w:val="00D139CA"/>
    <w:rsid w:val="00D14061"/>
    <w:rsid w:val="00D14693"/>
    <w:rsid w:val="00D14795"/>
    <w:rsid w:val="00D162F4"/>
    <w:rsid w:val="00D16723"/>
    <w:rsid w:val="00D17321"/>
    <w:rsid w:val="00D177A9"/>
    <w:rsid w:val="00D23D5C"/>
    <w:rsid w:val="00D23DAB"/>
    <w:rsid w:val="00D23FE8"/>
    <w:rsid w:val="00D24728"/>
    <w:rsid w:val="00D24BFB"/>
    <w:rsid w:val="00D25046"/>
    <w:rsid w:val="00D2538F"/>
    <w:rsid w:val="00D265FD"/>
    <w:rsid w:val="00D26A0B"/>
    <w:rsid w:val="00D26D58"/>
    <w:rsid w:val="00D2739D"/>
    <w:rsid w:val="00D2780C"/>
    <w:rsid w:val="00D27A87"/>
    <w:rsid w:val="00D27D18"/>
    <w:rsid w:val="00D30818"/>
    <w:rsid w:val="00D329CE"/>
    <w:rsid w:val="00D34171"/>
    <w:rsid w:val="00D347CE"/>
    <w:rsid w:val="00D3627E"/>
    <w:rsid w:val="00D36FE8"/>
    <w:rsid w:val="00D3734F"/>
    <w:rsid w:val="00D37804"/>
    <w:rsid w:val="00D418B7"/>
    <w:rsid w:val="00D45EDA"/>
    <w:rsid w:val="00D466AD"/>
    <w:rsid w:val="00D469DF"/>
    <w:rsid w:val="00D51132"/>
    <w:rsid w:val="00D52B49"/>
    <w:rsid w:val="00D53ABA"/>
    <w:rsid w:val="00D54767"/>
    <w:rsid w:val="00D60F17"/>
    <w:rsid w:val="00D62272"/>
    <w:rsid w:val="00D62609"/>
    <w:rsid w:val="00D65D16"/>
    <w:rsid w:val="00D664D6"/>
    <w:rsid w:val="00D7306D"/>
    <w:rsid w:val="00D736C0"/>
    <w:rsid w:val="00D737A4"/>
    <w:rsid w:val="00D74C93"/>
    <w:rsid w:val="00D75C71"/>
    <w:rsid w:val="00D7659E"/>
    <w:rsid w:val="00D768DA"/>
    <w:rsid w:val="00D76EA0"/>
    <w:rsid w:val="00D77319"/>
    <w:rsid w:val="00D81168"/>
    <w:rsid w:val="00D821F1"/>
    <w:rsid w:val="00D83F77"/>
    <w:rsid w:val="00D85BF7"/>
    <w:rsid w:val="00D864C6"/>
    <w:rsid w:val="00D87510"/>
    <w:rsid w:val="00D87D8F"/>
    <w:rsid w:val="00D90564"/>
    <w:rsid w:val="00D90655"/>
    <w:rsid w:val="00D9268F"/>
    <w:rsid w:val="00D934EF"/>
    <w:rsid w:val="00D93592"/>
    <w:rsid w:val="00D938A3"/>
    <w:rsid w:val="00D946B7"/>
    <w:rsid w:val="00D952EF"/>
    <w:rsid w:val="00DA3256"/>
    <w:rsid w:val="00DA3C57"/>
    <w:rsid w:val="00DA5DAF"/>
    <w:rsid w:val="00DB02B5"/>
    <w:rsid w:val="00DB1634"/>
    <w:rsid w:val="00DB3D85"/>
    <w:rsid w:val="00DB5769"/>
    <w:rsid w:val="00DB6181"/>
    <w:rsid w:val="00DC0880"/>
    <w:rsid w:val="00DC133D"/>
    <w:rsid w:val="00DC15CB"/>
    <w:rsid w:val="00DC2420"/>
    <w:rsid w:val="00DC5470"/>
    <w:rsid w:val="00DD2E92"/>
    <w:rsid w:val="00DD424F"/>
    <w:rsid w:val="00DD596D"/>
    <w:rsid w:val="00DD62D1"/>
    <w:rsid w:val="00DD6377"/>
    <w:rsid w:val="00DD6770"/>
    <w:rsid w:val="00DE0088"/>
    <w:rsid w:val="00DE1326"/>
    <w:rsid w:val="00DE4799"/>
    <w:rsid w:val="00DE5602"/>
    <w:rsid w:val="00DE5E9D"/>
    <w:rsid w:val="00DE63F3"/>
    <w:rsid w:val="00DE70DF"/>
    <w:rsid w:val="00DF0DD2"/>
    <w:rsid w:val="00DF2FA4"/>
    <w:rsid w:val="00DF309F"/>
    <w:rsid w:val="00DF31ED"/>
    <w:rsid w:val="00DF3C76"/>
    <w:rsid w:val="00DF4629"/>
    <w:rsid w:val="00DF797B"/>
    <w:rsid w:val="00E00241"/>
    <w:rsid w:val="00E0219F"/>
    <w:rsid w:val="00E049C1"/>
    <w:rsid w:val="00E054A2"/>
    <w:rsid w:val="00E079A5"/>
    <w:rsid w:val="00E1171E"/>
    <w:rsid w:val="00E12EB2"/>
    <w:rsid w:val="00E1303A"/>
    <w:rsid w:val="00E130D9"/>
    <w:rsid w:val="00E14241"/>
    <w:rsid w:val="00E161B3"/>
    <w:rsid w:val="00E17297"/>
    <w:rsid w:val="00E20C56"/>
    <w:rsid w:val="00E21265"/>
    <w:rsid w:val="00E22EAE"/>
    <w:rsid w:val="00E25182"/>
    <w:rsid w:val="00E25B44"/>
    <w:rsid w:val="00E26552"/>
    <w:rsid w:val="00E26719"/>
    <w:rsid w:val="00E27038"/>
    <w:rsid w:val="00E3037C"/>
    <w:rsid w:val="00E30A12"/>
    <w:rsid w:val="00E327C6"/>
    <w:rsid w:val="00E33DB5"/>
    <w:rsid w:val="00E37895"/>
    <w:rsid w:val="00E37954"/>
    <w:rsid w:val="00E37BDE"/>
    <w:rsid w:val="00E407F9"/>
    <w:rsid w:val="00E411B3"/>
    <w:rsid w:val="00E41362"/>
    <w:rsid w:val="00E44070"/>
    <w:rsid w:val="00E45FC2"/>
    <w:rsid w:val="00E4636C"/>
    <w:rsid w:val="00E47216"/>
    <w:rsid w:val="00E476CA"/>
    <w:rsid w:val="00E47A15"/>
    <w:rsid w:val="00E51774"/>
    <w:rsid w:val="00E51C56"/>
    <w:rsid w:val="00E52637"/>
    <w:rsid w:val="00E54B78"/>
    <w:rsid w:val="00E55674"/>
    <w:rsid w:val="00E569A9"/>
    <w:rsid w:val="00E56E9B"/>
    <w:rsid w:val="00E571F2"/>
    <w:rsid w:val="00E60189"/>
    <w:rsid w:val="00E60619"/>
    <w:rsid w:val="00E61829"/>
    <w:rsid w:val="00E629EB"/>
    <w:rsid w:val="00E62BA5"/>
    <w:rsid w:val="00E64B60"/>
    <w:rsid w:val="00E64FB2"/>
    <w:rsid w:val="00E664E3"/>
    <w:rsid w:val="00E66902"/>
    <w:rsid w:val="00E72042"/>
    <w:rsid w:val="00E736D0"/>
    <w:rsid w:val="00E7426F"/>
    <w:rsid w:val="00E746FA"/>
    <w:rsid w:val="00E74F7B"/>
    <w:rsid w:val="00E75D6A"/>
    <w:rsid w:val="00E80D42"/>
    <w:rsid w:val="00E83177"/>
    <w:rsid w:val="00E84447"/>
    <w:rsid w:val="00E848F7"/>
    <w:rsid w:val="00E84FCD"/>
    <w:rsid w:val="00E86039"/>
    <w:rsid w:val="00E86349"/>
    <w:rsid w:val="00E86FA7"/>
    <w:rsid w:val="00E87A1F"/>
    <w:rsid w:val="00E87B95"/>
    <w:rsid w:val="00E92039"/>
    <w:rsid w:val="00E9237B"/>
    <w:rsid w:val="00E92619"/>
    <w:rsid w:val="00E92F15"/>
    <w:rsid w:val="00E92F26"/>
    <w:rsid w:val="00E93820"/>
    <w:rsid w:val="00E93B15"/>
    <w:rsid w:val="00E946F8"/>
    <w:rsid w:val="00E9584C"/>
    <w:rsid w:val="00E95AF3"/>
    <w:rsid w:val="00E961CE"/>
    <w:rsid w:val="00E96E68"/>
    <w:rsid w:val="00E96E94"/>
    <w:rsid w:val="00E9730B"/>
    <w:rsid w:val="00E97A65"/>
    <w:rsid w:val="00EA1341"/>
    <w:rsid w:val="00EA4078"/>
    <w:rsid w:val="00EA539A"/>
    <w:rsid w:val="00EA6A8E"/>
    <w:rsid w:val="00EA72B2"/>
    <w:rsid w:val="00EB1C5B"/>
    <w:rsid w:val="00EB312A"/>
    <w:rsid w:val="00EB3935"/>
    <w:rsid w:val="00EB7291"/>
    <w:rsid w:val="00EC0938"/>
    <w:rsid w:val="00EC1DF3"/>
    <w:rsid w:val="00EC33D5"/>
    <w:rsid w:val="00EC3A08"/>
    <w:rsid w:val="00EC4B3B"/>
    <w:rsid w:val="00EC4E13"/>
    <w:rsid w:val="00EC556C"/>
    <w:rsid w:val="00EC66A9"/>
    <w:rsid w:val="00EC6BC0"/>
    <w:rsid w:val="00EC7675"/>
    <w:rsid w:val="00EC793C"/>
    <w:rsid w:val="00ED099C"/>
    <w:rsid w:val="00ED2CF9"/>
    <w:rsid w:val="00EE2E07"/>
    <w:rsid w:val="00EE4D21"/>
    <w:rsid w:val="00EE52DF"/>
    <w:rsid w:val="00EE54A8"/>
    <w:rsid w:val="00EE5820"/>
    <w:rsid w:val="00EE6671"/>
    <w:rsid w:val="00EE7761"/>
    <w:rsid w:val="00EF1AF7"/>
    <w:rsid w:val="00EF21F9"/>
    <w:rsid w:val="00EF3009"/>
    <w:rsid w:val="00EF35C6"/>
    <w:rsid w:val="00EF4613"/>
    <w:rsid w:val="00EF4A45"/>
    <w:rsid w:val="00EF5826"/>
    <w:rsid w:val="00EF59CC"/>
    <w:rsid w:val="00EF6DEF"/>
    <w:rsid w:val="00EF7112"/>
    <w:rsid w:val="00F00C3A"/>
    <w:rsid w:val="00F015E4"/>
    <w:rsid w:val="00F01786"/>
    <w:rsid w:val="00F02595"/>
    <w:rsid w:val="00F02C86"/>
    <w:rsid w:val="00F04967"/>
    <w:rsid w:val="00F04A59"/>
    <w:rsid w:val="00F04BB4"/>
    <w:rsid w:val="00F04C3B"/>
    <w:rsid w:val="00F0649F"/>
    <w:rsid w:val="00F06B36"/>
    <w:rsid w:val="00F07AED"/>
    <w:rsid w:val="00F1167E"/>
    <w:rsid w:val="00F11D9E"/>
    <w:rsid w:val="00F14A75"/>
    <w:rsid w:val="00F15983"/>
    <w:rsid w:val="00F16037"/>
    <w:rsid w:val="00F167F5"/>
    <w:rsid w:val="00F16F1F"/>
    <w:rsid w:val="00F20369"/>
    <w:rsid w:val="00F20804"/>
    <w:rsid w:val="00F21417"/>
    <w:rsid w:val="00F21B7A"/>
    <w:rsid w:val="00F21E6A"/>
    <w:rsid w:val="00F22EB7"/>
    <w:rsid w:val="00F23E57"/>
    <w:rsid w:val="00F24170"/>
    <w:rsid w:val="00F24837"/>
    <w:rsid w:val="00F2540A"/>
    <w:rsid w:val="00F26857"/>
    <w:rsid w:val="00F32DFA"/>
    <w:rsid w:val="00F3359E"/>
    <w:rsid w:val="00F335A8"/>
    <w:rsid w:val="00F33E8D"/>
    <w:rsid w:val="00F36E8A"/>
    <w:rsid w:val="00F3730B"/>
    <w:rsid w:val="00F3782D"/>
    <w:rsid w:val="00F404EE"/>
    <w:rsid w:val="00F408F8"/>
    <w:rsid w:val="00F40F5E"/>
    <w:rsid w:val="00F40FE6"/>
    <w:rsid w:val="00F424B7"/>
    <w:rsid w:val="00F42D09"/>
    <w:rsid w:val="00F45C06"/>
    <w:rsid w:val="00F45C3B"/>
    <w:rsid w:val="00F51363"/>
    <w:rsid w:val="00F530E6"/>
    <w:rsid w:val="00F5397D"/>
    <w:rsid w:val="00F53E09"/>
    <w:rsid w:val="00F54252"/>
    <w:rsid w:val="00F54D8F"/>
    <w:rsid w:val="00F557BF"/>
    <w:rsid w:val="00F557CF"/>
    <w:rsid w:val="00F56B0B"/>
    <w:rsid w:val="00F613AB"/>
    <w:rsid w:val="00F62F18"/>
    <w:rsid w:val="00F63515"/>
    <w:rsid w:val="00F6395D"/>
    <w:rsid w:val="00F6594A"/>
    <w:rsid w:val="00F67E06"/>
    <w:rsid w:val="00F71A24"/>
    <w:rsid w:val="00F73A95"/>
    <w:rsid w:val="00F73DE4"/>
    <w:rsid w:val="00F74B20"/>
    <w:rsid w:val="00F819AA"/>
    <w:rsid w:val="00F82F61"/>
    <w:rsid w:val="00F847B1"/>
    <w:rsid w:val="00F87C5D"/>
    <w:rsid w:val="00F87CC1"/>
    <w:rsid w:val="00F918A7"/>
    <w:rsid w:val="00F942A1"/>
    <w:rsid w:val="00F948C4"/>
    <w:rsid w:val="00F94A5B"/>
    <w:rsid w:val="00F958D5"/>
    <w:rsid w:val="00F96FAA"/>
    <w:rsid w:val="00F973E6"/>
    <w:rsid w:val="00F97B18"/>
    <w:rsid w:val="00FA0DEA"/>
    <w:rsid w:val="00FA2B09"/>
    <w:rsid w:val="00FA3129"/>
    <w:rsid w:val="00FA4E9C"/>
    <w:rsid w:val="00FA4F50"/>
    <w:rsid w:val="00FA5C9F"/>
    <w:rsid w:val="00FA6717"/>
    <w:rsid w:val="00FA689E"/>
    <w:rsid w:val="00FA6DCE"/>
    <w:rsid w:val="00FA6EA9"/>
    <w:rsid w:val="00FB1388"/>
    <w:rsid w:val="00FB2086"/>
    <w:rsid w:val="00FB20A1"/>
    <w:rsid w:val="00FB266E"/>
    <w:rsid w:val="00FB3B12"/>
    <w:rsid w:val="00FB496F"/>
    <w:rsid w:val="00FB6B9E"/>
    <w:rsid w:val="00FB7052"/>
    <w:rsid w:val="00FB7581"/>
    <w:rsid w:val="00FC1122"/>
    <w:rsid w:val="00FC1BF3"/>
    <w:rsid w:val="00FC2150"/>
    <w:rsid w:val="00FC24C9"/>
    <w:rsid w:val="00FC270A"/>
    <w:rsid w:val="00FC326B"/>
    <w:rsid w:val="00FC3F76"/>
    <w:rsid w:val="00FC4559"/>
    <w:rsid w:val="00FC519B"/>
    <w:rsid w:val="00FC7B29"/>
    <w:rsid w:val="00FD10C6"/>
    <w:rsid w:val="00FD1C78"/>
    <w:rsid w:val="00FD365A"/>
    <w:rsid w:val="00FD6E61"/>
    <w:rsid w:val="00FD75DF"/>
    <w:rsid w:val="00FE1070"/>
    <w:rsid w:val="00FE29CE"/>
    <w:rsid w:val="00FE3428"/>
    <w:rsid w:val="00FE3AB8"/>
    <w:rsid w:val="00FE3D0A"/>
    <w:rsid w:val="00FE505A"/>
    <w:rsid w:val="00FE64F8"/>
    <w:rsid w:val="00FE79CA"/>
    <w:rsid w:val="00FE7B0A"/>
    <w:rsid w:val="00FF0951"/>
    <w:rsid w:val="00FF1F1F"/>
    <w:rsid w:val="00FF24CC"/>
    <w:rsid w:val="00FF4829"/>
    <w:rsid w:val="00FF523F"/>
    <w:rsid w:val="00FF597F"/>
    <w:rsid w:val="00FF61EE"/>
    <w:rsid w:val="00FF75C8"/>
    <w:rsid w:val="00FF78DB"/>
    <w:rsid w:val="010B3251"/>
    <w:rsid w:val="01135319"/>
    <w:rsid w:val="01185629"/>
    <w:rsid w:val="014760CF"/>
    <w:rsid w:val="014C17E7"/>
    <w:rsid w:val="01541E5F"/>
    <w:rsid w:val="016C2D4F"/>
    <w:rsid w:val="01A36C84"/>
    <w:rsid w:val="01B72F8E"/>
    <w:rsid w:val="01C30466"/>
    <w:rsid w:val="01C65632"/>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42A31"/>
    <w:rsid w:val="039D37B9"/>
    <w:rsid w:val="03A24FB8"/>
    <w:rsid w:val="03DD0530"/>
    <w:rsid w:val="03E42641"/>
    <w:rsid w:val="04066493"/>
    <w:rsid w:val="04132B98"/>
    <w:rsid w:val="04225728"/>
    <w:rsid w:val="04494B18"/>
    <w:rsid w:val="044F44C2"/>
    <w:rsid w:val="045C00A3"/>
    <w:rsid w:val="04694ACD"/>
    <w:rsid w:val="047D665D"/>
    <w:rsid w:val="0489702C"/>
    <w:rsid w:val="04962264"/>
    <w:rsid w:val="04972866"/>
    <w:rsid w:val="04AD6E52"/>
    <w:rsid w:val="04E00053"/>
    <w:rsid w:val="04E03157"/>
    <w:rsid w:val="04F97A5F"/>
    <w:rsid w:val="05173421"/>
    <w:rsid w:val="051871AC"/>
    <w:rsid w:val="053D096B"/>
    <w:rsid w:val="058E496B"/>
    <w:rsid w:val="058E77EE"/>
    <w:rsid w:val="059B3928"/>
    <w:rsid w:val="059B5FCF"/>
    <w:rsid w:val="05A35969"/>
    <w:rsid w:val="05B62759"/>
    <w:rsid w:val="05FD6615"/>
    <w:rsid w:val="06181A7E"/>
    <w:rsid w:val="062563DB"/>
    <w:rsid w:val="063446BA"/>
    <w:rsid w:val="066A35A8"/>
    <w:rsid w:val="066F3954"/>
    <w:rsid w:val="06AE292B"/>
    <w:rsid w:val="06B65CD0"/>
    <w:rsid w:val="06C9729F"/>
    <w:rsid w:val="06CC11DC"/>
    <w:rsid w:val="06D0577A"/>
    <w:rsid w:val="06DB2D93"/>
    <w:rsid w:val="06E53DBD"/>
    <w:rsid w:val="07380693"/>
    <w:rsid w:val="074A1ECD"/>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D14C7"/>
    <w:rsid w:val="08EE549F"/>
    <w:rsid w:val="08F929D4"/>
    <w:rsid w:val="09071E76"/>
    <w:rsid w:val="090919EB"/>
    <w:rsid w:val="090B5646"/>
    <w:rsid w:val="0941189C"/>
    <w:rsid w:val="0978513B"/>
    <w:rsid w:val="097B235C"/>
    <w:rsid w:val="098C76F4"/>
    <w:rsid w:val="09DB4584"/>
    <w:rsid w:val="09DE49C3"/>
    <w:rsid w:val="09F56C35"/>
    <w:rsid w:val="0A0B5E4F"/>
    <w:rsid w:val="0A312E98"/>
    <w:rsid w:val="0A4970DF"/>
    <w:rsid w:val="0A71097F"/>
    <w:rsid w:val="0A817AC5"/>
    <w:rsid w:val="0A943317"/>
    <w:rsid w:val="0AB03154"/>
    <w:rsid w:val="0AC6595D"/>
    <w:rsid w:val="0B2F2F05"/>
    <w:rsid w:val="0B3823F4"/>
    <w:rsid w:val="0B760218"/>
    <w:rsid w:val="0B814064"/>
    <w:rsid w:val="0B8E5F07"/>
    <w:rsid w:val="0BB71C78"/>
    <w:rsid w:val="0BC344B8"/>
    <w:rsid w:val="0BC36BAC"/>
    <w:rsid w:val="0BCA7E13"/>
    <w:rsid w:val="0C0B0A36"/>
    <w:rsid w:val="0C0B5801"/>
    <w:rsid w:val="0C18189B"/>
    <w:rsid w:val="0C232B48"/>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720D6"/>
    <w:rsid w:val="0D5C52D4"/>
    <w:rsid w:val="0D943D26"/>
    <w:rsid w:val="0D9D6643"/>
    <w:rsid w:val="0DA4265D"/>
    <w:rsid w:val="0DB8097E"/>
    <w:rsid w:val="0DDD1D89"/>
    <w:rsid w:val="0DE5766B"/>
    <w:rsid w:val="0E217715"/>
    <w:rsid w:val="0E230543"/>
    <w:rsid w:val="0E775145"/>
    <w:rsid w:val="0E7D62A0"/>
    <w:rsid w:val="0E862666"/>
    <w:rsid w:val="0E894029"/>
    <w:rsid w:val="0EA351E9"/>
    <w:rsid w:val="0EA5760D"/>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52536D"/>
    <w:rsid w:val="10AD1CE9"/>
    <w:rsid w:val="10B87347"/>
    <w:rsid w:val="10C94242"/>
    <w:rsid w:val="10E906BE"/>
    <w:rsid w:val="10F65BB2"/>
    <w:rsid w:val="110E410B"/>
    <w:rsid w:val="112371A2"/>
    <w:rsid w:val="112722D1"/>
    <w:rsid w:val="112C65D5"/>
    <w:rsid w:val="113B087D"/>
    <w:rsid w:val="115F2626"/>
    <w:rsid w:val="11760EA5"/>
    <w:rsid w:val="117D320D"/>
    <w:rsid w:val="11863F32"/>
    <w:rsid w:val="11A258BC"/>
    <w:rsid w:val="11A560B7"/>
    <w:rsid w:val="11A675AA"/>
    <w:rsid w:val="11AF7BEF"/>
    <w:rsid w:val="11B01290"/>
    <w:rsid w:val="11F22FD8"/>
    <w:rsid w:val="11F955C4"/>
    <w:rsid w:val="11FD4E5A"/>
    <w:rsid w:val="12103BB7"/>
    <w:rsid w:val="122D5C93"/>
    <w:rsid w:val="122D65C3"/>
    <w:rsid w:val="12394B4F"/>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E02B4C"/>
    <w:rsid w:val="140B6DFF"/>
    <w:rsid w:val="141D098F"/>
    <w:rsid w:val="14261254"/>
    <w:rsid w:val="143E4201"/>
    <w:rsid w:val="14504ADF"/>
    <w:rsid w:val="145942DE"/>
    <w:rsid w:val="14626B51"/>
    <w:rsid w:val="146827F6"/>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0420E"/>
    <w:rsid w:val="170344B7"/>
    <w:rsid w:val="17362267"/>
    <w:rsid w:val="1739327C"/>
    <w:rsid w:val="173F5012"/>
    <w:rsid w:val="17465510"/>
    <w:rsid w:val="17570670"/>
    <w:rsid w:val="17752957"/>
    <w:rsid w:val="17843C78"/>
    <w:rsid w:val="179539B3"/>
    <w:rsid w:val="17A11B1A"/>
    <w:rsid w:val="17A8018F"/>
    <w:rsid w:val="17C56CB2"/>
    <w:rsid w:val="17E71D96"/>
    <w:rsid w:val="17F60AD4"/>
    <w:rsid w:val="182A68C4"/>
    <w:rsid w:val="182E2225"/>
    <w:rsid w:val="18A26F81"/>
    <w:rsid w:val="18A91971"/>
    <w:rsid w:val="18D40C27"/>
    <w:rsid w:val="18E10285"/>
    <w:rsid w:val="18F63582"/>
    <w:rsid w:val="1917478C"/>
    <w:rsid w:val="1925076B"/>
    <w:rsid w:val="19282183"/>
    <w:rsid w:val="193357D5"/>
    <w:rsid w:val="193F52C7"/>
    <w:rsid w:val="195E6AFC"/>
    <w:rsid w:val="19767A36"/>
    <w:rsid w:val="19995FEF"/>
    <w:rsid w:val="19B24017"/>
    <w:rsid w:val="19B5474D"/>
    <w:rsid w:val="19B7394B"/>
    <w:rsid w:val="19C6215B"/>
    <w:rsid w:val="19D41C35"/>
    <w:rsid w:val="1A0A1868"/>
    <w:rsid w:val="1A0F2BBB"/>
    <w:rsid w:val="1A2B5153"/>
    <w:rsid w:val="1A4841F6"/>
    <w:rsid w:val="1A6266B1"/>
    <w:rsid w:val="1A6B75C1"/>
    <w:rsid w:val="1A6F4C7E"/>
    <w:rsid w:val="1A8020C3"/>
    <w:rsid w:val="1ABD4F6B"/>
    <w:rsid w:val="1ABE4F37"/>
    <w:rsid w:val="1AD07418"/>
    <w:rsid w:val="1AE12880"/>
    <w:rsid w:val="1AE76412"/>
    <w:rsid w:val="1AF73E39"/>
    <w:rsid w:val="1B0822A1"/>
    <w:rsid w:val="1B450D4A"/>
    <w:rsid w:val="1B541E65"/>
    <w:rsid w:val="1B644FBE"/>
    <w:rsid w:val="1B794315"/>
    <w:rsid w:val="1B7E6473"/>
    <w:rsid w:val="1B9542BC"/>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E53F6E"/>
    <w:rsid w:val="1E0167F0"/>
    <w:rsid w:val="1E05608C"/>
    <w:rsid w:val="1E062A89"/>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9951FF"/>
    <w:rsid w:val="1FAC7B25"/>
    <w:rsid w:val="1FAE3E88"/>
    <w:rsid w:val="1FB11828"/>
    <w:rsid w:val="201160F9"/>
    <w:rsid w:val="2011735E"/>
    <w:rsid w:val="20271012"/>
    <w:rsid w:val="2053420E"/>
    <w:rsid w:val="20586A9A"/>
    <w:rsid w:val="206E7307"/>
    <w:rsid w:val="207A194A"/>
    <w:rsid w:val="208B1FB8"/>
    <w:rsid w:val="20A63C3D"/>
    <w:rsid w:val="20B52003"/>
    <w:rsid w:val="21016838"/>
    <w:rsid w:val="211875B6"/>
    <w:rsid w:val="213E6801"/>
    <w:rsid w:val="2144625F"/>
    <w:rsid w:val="214D2F3E"/>
    <w:rsid w:val="21503EE9"/>
    <w:rsid w:val="216A5288"/>
    <w:rsid w:val="21914BDF"/>
    <w:rsid w:val="219243EB"/>
    <w:rsid w:val="21A16099"/>
    <w:rsid w:val="21AC474F"/>
    <w:rsid w:val="21B60D96"/>
    <w:rsid w:val="21BE68C8"/>
    <w:rsid w:val="21C873C6"/>
    <w:rsid w:val="21D85A61"/>
    <w:rsid w:val="21E73283"/>
    <w:rsid w:val="21F833BA"/>
    <w:rsid w:val="21FB6384"/>
    <w:rsid w:val="22282379"/>
    <w:rsid w:val="224935F6"/>
    <w:rsid w:val="224E4C81"/>
    <w:rsid w:val="22827C17"/>
    <w:rsid w:val="22AA5908"/>
    <w:rsid w:val="22B639B7"/>
    <w:rsid w:val="22EF4620"/>
    <w:rsid w:val="230D64BA"/>
    <w:rsid w:val="232D5D5D"/>
    <w:rsid w:val="23356C71"/>
    <w:rsid w:val="23511BBD"/>
    <w:rsid w:val="235278E2"/>
    <w:rsid w:val="23963260"/>
    <w:rsid w:val="239A286B"/>
    <w:rsid w:val="23D75967"/>
    <w:rsid w:val="23EA3A5D"/>
    <w:rsid w:val="24057CF1"/>
    <w:rsid w:val="241A3187"/>
    <w:rsid w:val="241D35CB"/>
    <w:rsid w:val="242E6397"/>
    <w:rsid w:val="243E46A6"/>
    <w:rsid w:val="244A6CD8"/>
    <w:rsid w:val="244C5FBF"/>
    <w:rsid w:val="24741728"/>
    <w:rsid w:val="24752DC8"/>
    <w:rsid w:val="24760F1F"/>
    <w:rsid w:val="24D32F5D"/>
    <w:rsid w:val="24D33D37"/>
    <w:rsid w:val="24D664D1"/>
    <w:rsid w:val="24D8608F"/>
    <w:rsid w:val="24E372C9"/>
    <w:rsid w:val="24EF6316"/>
    <w:rsid w:val="24FB1B6E"/>
    <w:rsid w:val="24FD7366"/>
    <w:rsid w:val="252B275E"/>
    <w:rsid w:val="255810AA"/>
    <w:rsid w:val="256272EA"/>
    <w:rsid w:val="258353D7"/>
    <w:rsid w:val="25D7018F"/>
    <w:rsid w:val="26013A1B"/>
    <w:rsid w:val="260D56BF"/>
    <w:rsid w:val="26263EB4"/>
    <w:rsid w:val="26621D57"/>
    <w:rsid w:val="26805443"/>
    <w:rsid w:val="26916DC9"/>
    <w:rsid w:val="269867F5"/>
    <w:rsid w:val="269C607B"/>
    <w:rsid w:val="26B87422"/>
    <w:rsid w:val="26C22FE2"/>
    <w:rsid w:val="2706779E"/>
    <w:rsid w:val="271A7202"/>
    <w:rsid w:val="271B1790"/>
    <w:rsid w:val="27243F54"/>
    <w:rsid w:val="27293DBF"/>
    <w:rsid w:val="27A17800"/>
    <w:rsid w:val="27A9576F"/>
    <w:rsid w:val="27B81492"/>
    <w:rsid w:val="27B90089"/>
    <w:rsid w:val="27DD38E7"/>
    <w:rsid w:val="27E2432D"/>
    <w:rsid w:val="28083753"/>
    <w:rsid w:val="282867FB"/>
    <w:rsid w:val="283A464C"/>
    <w:rsid w:val="28425787"/>
    <w:rsid w:val="28500CF0"/>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E72261"/>
    <w:rsid w:val="2AF84366"/>
    <w:rsid w:val="2B22578F"/>
    <w:rsid w:val="2B310A8A"/>
    <w:rsid w:val="2B5C20D8"/>
    <w:rsid w:val="2B8C666C"/>
    <w:rsid w:val="2BDB6308"/>
    <w:rsid w:val="2BDB7638"/>
    <w:rsid w:val="2BFE3303"/>
    <w:rsid w:val="2C0B7BC3"/>
    <w:rsid w:val="2C324805"/>
    <w:rsid w:val="2C36281C"/>
    <w:rsid w:val="2C3B3354"/>
    <w:rsid w:val="2C3C3543"/>
    <w:rsid w:val="2C4445F8"/>
    <w:rsid w:val="2C9F353B"/>
    <w:rsid w:val="2CA7018D"/>
    <w:rsid w:val="2CBB6832"/>
    <w:rsid w:val="2CC004EA"/>
    <w:rsid w:val="2CC47DA8"/>
    <w:rsid w:val="2CD510B4"/>
    <w:rsid w:val="2CE14444"/>
    <w:rsid w:val="2CEA6D74"/>
    <w:rsid w:val="2D6B1768"/>
    <w:rsid w:val="2D7743FE"/>
    <w:rsid w:val="2D9035E4"/>
    <w:rsid w:val="2D9D14C2"/>
    <w:rsid w:val="2DB86793"/>
    <w:rsid w:val="2DBC13D4"/>
    <w:rsid w:val="2DD07F22"/>
    <w:rsid w:val="2DE85931"/>
    <w:rsid w:val="2DED049E"/>
    <w:rsid w:val="2DF5112F"/>
    <w:rsid w:val="2DF56BBB"/>
    <w:rsid w:val="2DF77DBF"/>
    <w:rsid w:val="2E537109"/>
    <w:rsid w:val="2E5B1630"/>
    <w:rsid w:val="2E6C5840"/>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2FEC5C90"/>
    <w:rsid w:val="300B0D59"/>
    <w:rsid w:val="302F220E"/>
    <w:rsid w:val="3038225E"/>
    <w:rsid w:val="30AF01FD"/>
    <w:rsid w:val="30D35321"/>
    <w:rsid w:val="30DA1D41"/>
    <w:rsid w:val="30E60779"/>
    <w:rsid w:val="30EE4CCC"/>
    <w:rsid w:val="310D0471"/>
    <w:rsid w:val="31445105"/>
    <w:rsid w:val="314A194A"/>
    <w:rsid w:val="31B06987"/>
    <w:rsid w:val="31B625C3"/>
    <w:rsid w:val="31C13A38"/>
    <w:rsid w:val="31D31C30"/>
    <w:rsid w:val="31DA2F13"/>
    <w:rsid w:val="31F213C6"/>
    <w:rsid w:val="32170104"/>
    <w:rsid w:val="321D7F33"/>
    <w:rsid w:val="32234C36"/>
    <w:rsid w:val="326C0F21"/>
    <w:rsid w:val="328453F3"/>
    <w:rsid w:val="32981B5A"/>
    <w:rsid w:val="32EC0B27"/>
    <w:rsid w:val="32ED7679"/>
    <w:rsid w:val="32FF4D91"/>
    <w:rsid w:val="335F2C9A"/>
    <w:rsid w:val="337002E0"/>
    <w:rsid w:val="33727C42"/>
    <w:rsid w:val="33F53437"/>
    <w:rsid w:val="343E5688"/>
    <w:rsid w:val="347A3ECA"/>
    <w:rsid w:val="348E0A85"/>
    <w:rsid w:val="348F7B63"/>
    <w:rsid w:val="34B23803"/>
    <w:rsid w:val="34E4685B"/>
    <w:rsid w:val="34EB6DF8"/>
    <w:rsid w:val="35115659"/>
    <w:rsid w:val="3530548F"/>
    <w:rsid w:val="35315FCF"/>
    <w:rsid w:val="355D7BF4"/>
    <w:rsid w:val="35665A65"/>
    <w:rsid w:val="35A9364A"/>
    <w:rsid w:val="35B9319F"/>
    <w:rsid w:val="35C27B86"/>
    <w:rsid w:val="35DB7D98"/>
    <w:rsid w:val="35EE26F1"/>
    <w:rsid w:val="35F92C30"/>
    <w:rsid w:val="362676D4"/>
    <w:rsid w:val="36574C8D"/>
    <w:rsid w:val="36626C27"/>
    <w:rsid w:val="366B6306"/>
    <w:rsid w:val="3679148F"/>
    <w:rsid w:val="3685329B"/>
    <w:rsid w:val="36954A77"/>
    <w:rsid w:val="36AB68A9"/>
    <w:rsid w:val="36F9386F"/>
    <w:rsid w:val="3701025A"/>
    <w:rsid w:val="371634BE"/>
    <w:rsid w:val="372F50B7"/>
    <w:rsid w:val="37441682"/>
    <w:rsid w:val="375D7D52"/>
    <w:rsid w:val="376D7F8A"/>
    <w:rsid w:val="37A343F9"/>
    <w:rsid w:val="37D97769"/>
    <w:rsid w:val="38362847"/>
    <w:rsid w:val="3875150B"/>
    <w:rsid w:val="387E6F7D"/>
    <w:rsid w:val="3888158A"/>
    <w:rsid w:val="389417B9"/>
    <w:rsid w:val="38B3541D"/>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C3752B"/>
    <w:rsid w:val="3A1C4F96"/>
    <w:rsid w:val="3A3011E1"/>
    <w:rsid w:val="3A4532C6"/>
    <w:rsid w:val="3A6745EE"/>
    <w:rsid w:val="3A7424AE"/>
    <w:rsid w:val="3A7B560E"/>
    <w:rsid w:val="3A9768D3"/>
    <w:rsid w:val="3AD21B41"/>
    <w:rsid w:val="3AE82FE2"/>
    <w:rsid w:val="3B0948AC"/>
    <w:rsid w:val="3B1106DB"/>
    <w:rsid w:val="3B4E4520"/>
    <w:rsid w:val="3B917000"/>
    <w:rsid w:val="3BA775F0"/>
    <w:rsid w:val="3BB26E2E"/>
    <w:rsid w:val="3BF0568D"/>
    <w:rsid w:val="3BF11576"/>
    <w:rsid w:val="3BF642A6"/>
    <w:rsid w:val="3C0A2795"/>
    <w:rsid w:val="3C0E26E6"/>
    <w:rsid w:val="3C126DA0"/>
    <w:rsid w:val="3C215C0F"/>
    <w:rsid w:val="3C2853C8"/>
    <w:rsid w:val="3C472DAE"/>
    <w:rsid w:val="3C565F7D"/>
    <w:rsid w:val="3C615C8E"/>
    <w:rsid w:val="3C8A1F5C"/>
    <w:rsid w:val="3C8C4E56"/>
    <w:rsid w:val="3CB00A5E"/>
    <w:rsid w:val="3CC80E2E"/>
    <w:rsid w:val="3CCC60CE"/>
    <w:rsid w:val="3CEE78B0"/>
    <w:rsid w:val="3D076FFA"/>
    <w:rsid w:val="3D146DD3"/>
    <w:rsid w:val="3DB949B3"/>
    <w:rsid w:val="3DBC58F4"/>
    <w:rsid w:val="3DD15C08"/>
    <w:rsid w:val="3DE7275D"/>
    <w:rsid w:val="3E0A7C3D"/>
    <w:rsid w:val="3E45714C"/>
    <w:rsid w:val="3E636882"/>
    <w:rsid w:val="3EB220F7"/>
    <w:rsid w:val="3ED505EA"/>
    <w:rsid w:val="3EDB13DE"/>
    <w:rsid w:val="3EDE1EF2"/>
    <w:rsid w:val="3F144933"/>
    <w:rsid w:val="3F2B2C7C"/>
    <w:rsid w:val="3F4C64B2"/>
    <w:rsid w:val="3F591D3C"/>
    <w:rsid w:val="3FA73041"/>
    <w:rsid w:val="3FBB4F3F"/>
    <w:rsid w:val="3FF01152"/>
    <w:rsid w:val="3FF07330"/>
    <w:rsid w:val="3FF341ED"/>
    <w:rsid w:val="402300FD"/>
    <w:rsid w:val="402850D6"/>
    <w:rsid w:val="403A014B"/>
    <w:rsid w:val="40580136"/>
    <w:rsid w:val="41691ABE"/>
    <w:rsid w:val="417F4425"/>
    <w:rsid w:val="419024AE"/>
    <w:rsid w:val="419B5EE3"/>
    <w:rsid w:val="419C6756"/>
    <w:rsid w:val="41C07281"/>
    <w:rsid w:val="41D0160B"/>
    <w:rsid w:val="42182615"/>
    <w:rsid w:val="423F4946"/>
    <w:rsid w:val="424C1B5F"/>
    <w:rsid w:val="42644F43"/>
    <w:rsid w:val="426B2863"/>
    <w:rsid w:val="4272113C"/>
    <w:rsid w:val="42CF6401"/>
    <w:rsid w:val="42D96C5A"/>
    <w:rsid w:val="42F66F50"/>
    <w:rsid w:val="43195B7B"/>
    <w:rsid w:val="432D1687"/>
    <w:rsid w:val="43354E11"/>
    <w:rsid w:val="435408A1"/>
    <w:rsid w:val="436E7A23"/>
    <w:rsid w:val="438D1381"/>
    <w:rsid w:val="438F1EE6"/>
    <w:rsid w:val="439243A4"/>
    <w:rsid w:val="43F9762E"/>
    <w:rsid w:val="441A1202"/>
    <w:rsid w:val="44372A9D"/>
    <w:rsid w:val="443A2268"/>
    <w:rsid w:val="443A4987"/>
    <w:rsid w:val="44AA518A"/>
    <w:rsid w:val="44FE2748"/>
    <w:rsid w:val="452E5D2F"/>
    <w:rsid w:val="455227A8"/>
    <w:rsid w:val="455D3F07"/>
    <w:rsid w:val="45903123"/>
    <w:rsid w:val="45933E8A"/>
    <w:rsid w:val="45965BB9"/>
    <w:rsid w:val="45D02414"/>
    <w:rsid w:val="45EE7C0F"/>
    <w:rsid w:val="45F24ED7"/>
    <w:rsid w:val="461A5106"/>
    <w:rsid w:val="465741D5"/>
    <w:rsid w:val="46693CA0"/>
    <w:rsid w:val="466C3A26"/>
    <w:rsid w:val="468D12EA"/>
    <w:rsid w:val="46A56C56"/>
    <w:rsid w:val="46AE53E0"/>
    <w:rsid w:val="46C10F45"/>
    <w:rsid w:val="46C14D13"/>
    <w:rsid w:val="46DD086C"/>
    <w:rsid w:val="46EF7F27"/>
    <w:rsid w:val="470067F5"/>
    <w:rsid w:val="470111C6"/>
    <w:rsid w:val="472A5166"/>
    <w:rsid w:val="472B0CA1"/>
    <w:rsid w:val="47363975"/>
    <w:rsid w:val="4755433F"/>
    <w:rsid w:val="475734CE"/>
    <w:rsid w:val="47ED73E6"/>
    <w:rsid w:val="486702D3"/>
    <w:rsid w:val="48742BBF"/>
    <w:rsid w:val="48AF7EBC"/>
    <w:rsid w:val="48CB25C0"/>
    <w:rsid w:val="48CD44C4"/>
    <w:rsid w:val="48DE2FE7"/>
    <w:rsid w:val="48EA52EA"/>
    <w:rsid w:val="49057561"/>
    <w:rsid w:val="49103B16"/>
    <w:rsid w:val="492F0879"/>
    <w:rsid w:val="49487290"/>
    <w:rsid w:val="494E3FF9"/>
    <w:rsid w:val="494F6B2B"/>
    <w:rsid w:val="49573057"/>
    <w:rsid w:val="4967026E"/>
    <w:rsid w:val="49954A57"/>
    <w:rsid w:val="49B42F3D"/>
    <w:rsid w:val="49D968AD"/>
    <w:rsid w:val="49DA2AF1"/>
    <w:rsid w:val="49DA4E89"/>
    <w:rsid w:val="49ED23F8"/>
    <w:rsid w:val="4A012DFC"/>
    <w:rsid w:val="4A0A1DA9"/>
    <w:rsid w:val="4A3E5097"/>
    <w:rsid w:val="4A485415"/>
    <w:rsid w:val="4A61240A"/>
    <w:rsid w:val="4A6475E6"/>
    <w:rsid w:val="4A9F4B39"/>
    <w:rsid w:val="4ACE34DA"/>
    <w:rsid w:val="4B8901F2"/>
    <w:rsid w:val="4B8B1474"/>
    <w:rsid w:val="4B99592E"/>
    <w:rsid w:val="4BA32514"/>
    <w:rsid w:val="4BCA1891"/>
    <w:rsid w:val="4BD842DC"/>
    <w:rsid w:val="4BDA3B7C"/>
    <w:rsid w:val="4BE70BE8"/>
    <w:rsid w:val="4C4462FE"/>
    <w:rsid w:val="4C525D47"/>
    <w:rsid w:val="4CA12D07"/>
    <w:rsid w:val="4CA56685"/>
    <w:rsid w:val="4CBA1C75"/>
    <w:rsid w:val="4CC77DC9"/>
    <w:rsid w:val="4CD72854"/>
    <w:rsid w:val="4CE81B40"/>
    <w:rsid w:val="4CF60ECE"/>
    <w:rsid w:val="4D101B77"/>
    <w:rsid w:val="4D3A78A2"/>
    <w:rsid w:val="4D632267"/>
    <w:rsid w:val="4D7128DD"/>
    <w:rsid w:val="4D7952D5"/>
    <w:rsid w:val="4DA81EEF"/>
    <w:rsid w:val="4DAC6E51"/>
    <w:rsid w:val="4E3E2434"/>
    <w:rsid w:val="4E3E651E"/>
    <w:rsid w:val="4E5161F2"/>
    <w:rsid w:val="4E585C33"/>
    <w:rsid w:val="4E6D0570"/>
    <w:rsid w:val="4E8E0835"/>
    <w:rsid w:val="4F0224ED"/>
    <w:rsid w:val="4F1A31C4"/>
    <w:rsid w:val="4F2F6B1B"/>
    <w:rsid w:val="4F494165"/>
    <w:rsid w:val="4F4D2AC1"/>
    <w:rsid w:val="4F5C409A"/>
    <w:rsid w:val="4F671BD3"/>
    <w:rsid w:val="4F676B5A"/>
    <w:rsid w:val="4F7739D8"/>
    <w:rsid w:val="4F7F183C"/>
    <w:rsid w:val="4FAE3C18"/>
    <w:rsid w:val="4FB42D6F"/>
    <w:rsid w:val="4FC034D1"/>
    <w:rsid w:val="4FD23C8B"/>
    <w:rsid w:val="4FEA5817"/>
    <w:rsid w:val="500037D4"/>
    <w:rsid w:val="50045EB0"/>
    <w:rsid w:val="500C28DF"/>
    <w:rsid w:val="503C2BD4"/>
    <w:rsid w:val="505928B7"/>
    <w:rsid w:val="50687F2F"/>
    <w:rsid w:val="509A094B"/>
    <w:rsid w:val="50A22D2A"/>
    <w:rsid w:val="50A360D4"/>
    <w:rsid w:val="50AA153F"/>
    <w:rsid w:val="50B31032"/>
    <w:rsid w:val="50BD72AB"/>
    <w:rsid w:val="50C962A4"/>
    <w:rsid w:val="50D57E8D"/>
    <w:rsid w:val="50F45000"/>
    <w:rsid w:val="50FE399F"/>
    <w:rsid w:val="51280B92"/>
    <w:rsid w:val="51365076"/>
    <w:rsid w:val="51526790"/>
    <w:rsid w:val="51677C7C"/>
    <w:rsid w:val="51A85DA5"/>
    <w:rsid w:val="51A95486"/>
    <w:rsid w:val="51AC2D8C"/>
    <w:rsid w:val="51B167EB"/>
    <w:rsid w:val="51B476C7"/>
    <w:rsid w:val="51CF5A0E"/>
    <w:rsid w:val="51E965D8"/>
    <w:rsid w:val="52134AE2"/>
    <w:rsid w:val="52192EC2"/>
    <w:rsid w:val="521C26B4"/>
    <w:rsid w:val="52255D74"/>
    <w:rsid w:val="524A10CD"/>
    <w:rsid w:val="524E374B"/>
    <w:rsid w:val="524F49A8"/>
    <w:rsid w:val="52581E25"/>
    <w:rsid w:val="52662124"/>
    <w:rsid w:val="52805020"/>
    <w:rsid w:val="52906CDD"/>
    <w:rsid w:val="5299354E"/>
    <w:rsid w:val="529F0854"/>
    <w:rsid w:val="52B563AA"/>
    <w:rsid w:val="52CE016A"/>
    <w:rsid w:val="52D87BFA"/>
    <w:rsid w:val="52DD79AF"/>
    <w:rsid w:val="52DE163F"/>
    <w:rsid w:val="53000691"/>
    <w:rsid w:val="530A7714"/>
    <w:rsid w:val="534B6094"/>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03FF5"/>
    <w:rsid w:val="54B8163D"/>
    <w:rsid w:val="54C33E7A"/>
    <w:rsid w:val="54CA0677"/>
    <w:rsid w:val="54DF5356"/>
    <w:rsid w:val="55222EE8"/>
    <w:rsid w:val="554C1EFF"/>
    <w:rsid w:val="55647E29"/>
    <w:rsid w:val="556722F3"/>
    <w:rsid w:val="556B416F"/>
    <w:rsid w:val="560A6F64"/>
    <w:rsid w:val="561F3BF6"/>
    <w:rsid w:val="56580614"/>
    <w:rsid w:val="565D36AC"/>
    <w:rsid w:val="56691AD1"/>
    <w:rsid w:val="56F551F5"/>
    <w:rsid w:val="570D0F77"/>
    <w:rsid w:val="570E6751"/>
    <w:rsid w:val="572B7FE9"/>
    <w:rsid w:val="57592455"/>
    <w:rsid w:val="57656856"/>
    <w:rsid w:val="579267E8"/>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536F77"/>
    <w:rsid w:val="596365AC"/>
    <w:rsid w:val="598A6C22"/>
    <w:rsid w:val="599041AC"/>
    <w:rsid w:val="59985375"/>
    <w:rsid w:val="59A138AD"/>
    <w:rsid w:val="59B713E5"/>
    <w:rsid w:val="59C259C8"/>
    <w:rsid w:val="59CC60C7"/>
    <w:rsid w:val="5A126D99"/>
    <w:rsid w:val="5A14720D"/>
    <w:rsid w:val="5A212A54"/>
    <w:rsid w:val="5A312CF9"/>
    <w:rsid w:val="5A4847EA"/>
    <w:rsid w:val="5A7B3BAD"/>
    <w:rsid w:val="5A920F62"/>
    <w:rsid w:val="5AA01C8C"/>
    <w:rsid w:val="5AA75BC5"/>
    <w:rsid w:val="5AA930BB"/>
    <w:rsid w:val="5AAE0598"/>
    <w:rsid w:val="5AB03735"/>
    <w:rsid w:val="5AC369FE"/>
    <w:rsid w:val="5B151236"/>
    <w:rsid w:val="5B2037B0"/>
    <w:rsid w:val="5B2D2BFB"/>
    <w:rsid w:val="5B553ACC"/>
    <w:rsid w:val="5B564EB4"/>
    <w:rsid w:val="5B706485"/>
    <w:rsid w:val="5B9C7E98"/>
    <w:rsid w:val="5BAC0A09"/>
    <w:rsid w:val="5BB23BD1"/>
    <w:rsid w:val="5BBB7BD4"/>
    <w:rsid w:val="5BD45B85"/>
    <w:rsid w:val="5C05752E"/>
    <w:rsid w:val="5C0A6069"/>
    <w:rsid w:val="5C11407D"/>
    <w:rsid w:val="5C3A2DB9"/>
    <w:rsid w:val="5C4F3973"/>
    <w:rsid w:val="5C8E06D8"/>
    <w:rsid w:val="5C8F3298"/>
    <w:rsid w:val="5CB9004B"/>
    <w:rsid w:val="5CD572EF"/>
    <w:rsid w:val="5CF11646"/>
    <w:rsid w:val="5D01455E"/>
    <w:rsid w:val="5D043FF0"/>
    <w:rsid w:val="5D05775C"/>
    <w:rsid w:val="5D0622F1"/>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E0445D8"/>
    <w:rsid w:val="5E07270F"/>
    <w:rsid w:val="5E0769BB"/>
    <w:rsid w:val="5E082AAD"/>
    <w:rsid w:val="5E211C41"/>
    <w:rsid w:val="5E3254E4"/>
    <w:rsid w:val="5E6D66A7"/>
    <w:rsid w:val="5E8672FD"/>
    <w:rsid w:val="5EA0314A"/>
    <w:rsid w:val="5EBE1E5D"/>
    <w:rsid w:val="5EF75916"/>
    <w:rsid w:val="5F1A101C"/>
    <w:rsid w:val="5F4104AC"/>
    <w:rsid w:val="5F424E12"/>
    <w:rsid w:val="5F534047"/>
    <w:rsid w:val="5F76036D"/>
    <w:rsid w:val="5F960998"/>
    <w:rsid w:val="5F962864"/>
    <w:rsid w:val="5FB26FAF"/>
    <w:rsid w:val="5FC60D9F"/>
    <w:rsid w:val="5FC90072"/>
    <w:rsid w:val="5FDB5D14"/>
    <w:rsid w:val="5FE915F6"/>
    <w:rsid w:val="60251956"/>
    <w:rsid w:val="60356AD7"/>
    <w:rsid w:val="606624AB"/>
    <w:rsid w:val="6070549C"/>
    <w:rsid w:val="607C08DA"/>
    <w:rsid w:val="608924F9"/>
    <w:rsid w:val="608D7069"/>
    <w:rsid w:val="60946860"/>
    <w:rsid w:val="60B265A6"/>
    <w:rsid w:val="60E03C99"/>
    <w:rsid w:val="61083D1B"/>
    <w:rsid w:val="611E45A3"/>
    <w:rsid w:val="61492CB3"/>
    <w:rsid w:val="61694A92"/>
    <w:rsid w:val="616D3F2C"/>
    <w:rsid w:val="61777BE6"/>
    <w:rsid w:val="619216B7"/>
    <w:rsid w:val="61A32273"/>
    <w:rsid w:val="61C65943"/>
    <w:rsid w:val="61E7575B"/>
    <w:rsid w:val="620B243F"/>
    <w:rsid w:val="621056C9"/>
    <w:rsid w:val="621A046C"/>
    <w:rsid w:val="623703BA"/>
    <w:rsid w:val="624F2DFA"/>
    <w:rsid w:val="62662B27"/>
    <w:rsid w:val="626A0244"/>
    <w:rsid w:val="62AB4171"/>
    <w:rsid w:val="62DA4468"/>
    <w:rsid w:val="62E83073"/>
    <w:rsid w:val="63081829"/>
    <w:rsid w:val="630E43DC"/>
    <w:rsid w:val="63265620"/>
    <w:rsid w:val="63311505"/>
    <w:rsid w:val="63355EB6"/>
    <w:rsid w:val="63360481"/>
    <w:rsid w:val="63374D65"/>
    <w:rsid w:val="633A6153"/>
    <w:rsid w:val="63463A4A"/>
    <w:rsid w:val="63847838"/>
    <w:rsid w:val="63C0321D"/>
    <w:rsid w:val="63D448EB"/>
    <w:rsid w:val="63E61662"/>
    <w:rsid w:val="63F66740"/>
    <w:rsid w:val="63FC4626"/>
    <w:rsid w:val="64065E8B"/>
    <w:rsid w:val="64104931"/>
    <w:rsid w:val="64201B2D"/>
    <w:rsid w:val="645C2086"/>
    <w:rsid w:val="64640CF6"/>
    <w:rsid w:val="64870E40"/>
    <w:rsid w:val="64CD28A0"/>
    <w:rsid w:val="64DE3D6A"/>
    <w:rsid w:val="65507043"/>
    <w:rsid w:val="65926E15"/>
    <w:rsid w:val="65BA6D35"/>
    <w:rsid w:val="65BD2C5D"/>
    <w:rsid w:val="65C2671A"/>
    <w:rsid w:val="65C67480"/>
    <w:rsid w:val="65C75C9D"/>
    <w:rsid w:val="65D05CBA"/>
    <w:rsid w:val="65D90F09"/>
    <w:rsid w:val="65DE0A4E"/>
    <w:rsid w:val="65E85BFF"/>
    <w:rsid w:val="660635F9"/>
    <w:rsid w:val="6645724E"/>
    <w:rsid w:val="66461DD9"/>
    <w:rsid w:val="665A45C4"/>
    <w:rsid w:val="66625812"/>
    <w:rsid w:val="669E6755"/>
    <w:rsid w:val="66BF694D"/>
    <w:rsid w:val="66C21505"/>
    <w:rsid w:val="66E06199"/>
    <w:rsid w:val="66EF318D"/>
    <w:rsid w:val="673161D2"/>
    <w:rsid w:val="6745453E"/>
    <w:rsid w:val="674F1064"/>
    <w:rsid w:val="6761579B"/>
    <w:rsid w:val="677D578B"/>
    <w:rsid w:val="67805FF3"/>
    <w:rsid w:val="67B10916"/>
    <w:rsid w:val="67BD62B5"/>
    <w:rsid w:val="67CD2B05"/>
    <w:rsid w:val="67E07D57"/>
    <w:rsid w:val="67E44D7F"/>
    <w:rsid w:val="680753B0"/>
    <w:rsid w:val="68507784"/>
    <w:rsid w:val="68561507"/>
    <w:rsid w:val="68585B7F"/>
    <w:rsid w:val="68735894"/>
    <w:rsid w:val="687E6A20"/>
    <w:rsid w:val="688D4BC7"/>
    <w:rsid w:val="689377BB"/>
    <w:rsid w:val="68AE1608"/>
    <w:rsid w:val="68C025AA"/>
    <w:rsid w:val="68DA33DD"/>
    <w:rsid w:val="69067E12"/>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C203DB9"/>
    <w:rsid w:val="6C2E2B6D"/>
    <w:rsid w:val="6C5929ED"/>
    <w:rsid w:val="6C735D8A"/>
    <w:rsid w:val="6C9242EA"/>
    <w:rsid w:val="6CAE52EE"/>
    <w:rsid w:val="6D117042"/>
    <w:rsid w:val="6D252DE1"/>
    <w:rsid w:val="6D5B6C53"/>
    <w:rsid w:val="6DA765A2"/>
    <w:rsid w:val="6DAC5479"/>
    <w:rsid w:val="6DC01DB8"/>
    <w:rsid w:val="6DD72555"/>
    <w:rsid w:val="6E075259"/>
    <w:rsid w:val="6E080D24"/>
    <w:rsid w:val="6E141E85"/>
    <w:rsid w:val="6E164BD1"/>
    <w:rsid w:val="6E2F5DCE"/>
    <w:rsid w:val="6E376959"/>
    <w:rsid w:val="6E4140FB"/>
    <w:rsid w:val="6E60184C"/>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1950224"/>
    <w:rsid w:val="72080D32"/>
    <w:rsid w:val="720D1F4D"/>
    <w:rsid w:val="721052B7"/>
    <w:rsid w:val="722308F4"/>
    <w:rsid w:val="722A0038"/>
    <w:rsid w:val="727C0236"/>
    <w:rsid w:val="72900561"/>
    <w:rsid w:val="729519B7"/>
    <w:rsid w:val="72A73F0F"/>
    <w:rsid w:val="72DB55E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4111D04"/>
    <w:rsid w:val="74171A01"/>
    <w:rsid w:val="74536A3F"/>
    <w:rsid w:val="745F5740"/>
    <w:rsid w:val="747C3D32"/>
    <w:rsid w:val="74835AE8"/>
    <w:rsid w:val="749D5090"/>
    <w:rsid w:val="749F0331"/>
    <w:rsid w:val="749F0C11"/>
    <w:rsid w:val="74A8777D"/>
    <w:rsid w:val="74B854F4"/>
    <w:rsid w:val="74BE18BB"/>
    <w:rsid w:val="74D85F1E"/>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C24239"/>
    <w:rsid w:val="77D4227E"/>
    <w:rsid w:val="78043E2D"/>
    <w:rsid w:val="78380298"/>
    <w:rsid w:val="78485358"/>
    <w:rsid w:val="784A2879"/>
    <w:rsid w:val="784B1218"/>
    <w:rsid w:val="78523BB2"/>
    <w:rsid w:val="78863C82"/>
    <w:rsid w:val="788D62EB"/>
    <w:rsid w:val="789C58B9"/>
    <w:rsid w:val="78D03957"/>
    <w:rsid w:val="78F107E1"/>
    <w:rsid w:val="79090072"/>
    <w:rsid w:val="791D50EE"/>
    <w:rsid w:val="793925CD"/>
    <w:rsid w:val="795773C0"/>
    <w:rsid w:val="798B7DE0"/>
    <w:rsid w:val="799E3268"/>
    <w:rsid w:val="79EA6FB1"/>
    <w:rsid w:val="79EB3FC1"/>
    <w:rsid w:val="79FF05B1"/>
    <w:rsid w:val="7A2275F3"/>
    <w:rsid w:val="7A29208A"/>
    <w:rsid w:val="7A3A71B0"/>
    <w:rsid w:val="7A6B0EEC"/>
    <w:rsid w:val="7A7B7C81"/>
    <w:rsid w:val="7A9C69F9"/>
    <w:rsid w:val="7A9E1BB2"/>
    <w:rsid w:val="7AA50F65"/>
    <w:rsid w:val="7AD37417"/>
    <w:rsid w:val="7ADB6286"/>
    <w:rsid w:val="7B06720A"/>
    <w:rsid w:val="7B2244F2"/>
    <w:rsid w:val="7B2703C9"/>
    <w:rsid w:val="7B2829EF"/>
    <w:rsid w:val="7B315A2C"/>
    <w:rsid w:val="7B3E7CED"/>
    <w:rsid w:val="7B6C7A46"/>
    <w:rsid w:val="7B7F6487"/>
    <w:rsid w:val="7B8160C2"/>
    <w:rsid w:val="7B8B0C26"/>
    <w:rsid w:val="7BA91283"/>
    <w:rsid w:val="7BBB232A"/>
    <w:rsid w:val="7C0E51CC"/>
    <w:rsid w:val="7C2E4FBE"/>
    <w:rsid w:val="7C647FED"/>
    <w:rsid w:val="7C8A4362"/>
    <w:rsid w:val="7C946D15"/>
    <w:rsid w:val="7CA13EBB"/>
    <w:rsid w:val="7CA459D5"/>
    <w:rsid w:val="7CE87470"/>
    <w:rsid w:val="7CF005F7"/>
    <w:rsid w:val="7D155CC4"/>
    <w:rsid w:val="7D351B9F"/>
    <w:rsid w:val="7D491718"/>
    <w:rsid w:val="7D500AED"/>
    <w:rsid w:val="7D5A249C"/>
    <w:rsid w:val="7D956D72"/>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824865"/>
    <w:rsid w:val="7F8A76B2"/>
    <w:rsid w:val="7F8C1E91"/>
    <w:rsid w:val="7F8F03A1"/>
    <w:rsid w:val="7FAF6024"/>
    <w:rsid w:val="7FB93C21"/>
    <w:rsid w:val="7FCA1BF6"/>
    <w:rsid w:val="7FDA15FF"/>
    <w:rsid w:val="7FED0079"/>
    <w:rsid w:val="7FF9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3">
    <w:name w:val="heading 2"/>
    <w:basedOn w:val="1"/>
    <w:next w:val="1"/>
    <w:link w:val="70"/>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4">
    <w:name w:val="heading 3"/>
    <w:basedOn w:val="1"/>
    <w:next w:val="1"/>
    <w:link w:val="71"/>
    <w:qFormat/>
    <w:uiPriority w:val="0"/>
    <w:pPr>
      <w:autoSpaceDE w:val="0"/>
      <w:autoSpaceDN w:val="0"/>
      <w:adjustRightInd w:val="0"/>
      <w:spacing w:before="16"/>
      <w:jc w:val="left"/>
      <w:outlineLvl w:val="2"/>
    </w:pPr>
    <w:rPr>
      <w:rFonts w:ascii="仿宋_GB2312" w:eastAsia="仿宋_GB2312"/>
      <w:b/>
      <w:sz w:val="24"/>
    </w:rPr>
  </w:style>
  <w:style w:type="paragraph" w:styleId="5">
    <w:name w:val="heading 4"/>
    <w:basedOn w:val="1"/>
    <w:next w:val="1"/>
    <w:link w:val="72"/>
    <w:qFormat/>
    <w:uiPriority w:val="0"/>
    <w:pPr>
      <w:jc w:val="center"/>
      <w:outlineLvl w:val="3"/>
    </w:pPr>
    <w:rPr>
      <w:rFonts w:ascii="仿宋_GB2312" w:eastAsia="仿宋_GB2312"/>
      <w:b/>
      <w:sz w:val="24"/>
    </w:rPr>
  </w:style>
  <w:style w:type="paragraph" w:styleId="6">
    <w:name w:val="heading 5"/>
    <w:basedOn w:val="1"/>
    <w:next w:val="1"/>
    <w:link w:val="73"/>
    <w:qFormat/>
    <w:uiPriority w:val="0"/>
    <w:pPr>
      <w:keepNext/>
      <w:keepLines/>
      <w:spacing w:before="280" w:after="290" w:line="374" w:lineRule="auto"/>
      <w:outlineLvl w:val="4"/>
    </w:pPr>
    <w:rPr>
      <w:b/>
      <w:bCs/>
      <w:sz w:val="28"/>
      <w:szCs w:val="28"/>
    </w:rPr>
  </w:style>
  <w:style w:type="paragraph" w:styleId="7">
    <w:name w:val="heading 6"/>
    <w:basedOn w:val="1"/>
    <w:next w:val="1"/>
    <w:link w:val="74"/>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75"/>
    <w:qFormat/>
    <w:uiPriority w:val="0"/>
    <w:pPr>
      <w:keepNext/>
      <w:keepLines/>
      <w:spacing w:before="240" w:after="64" w:line="319" w:lineRule="auto"/>
      <w:outlineLvl w:val="6"/>
    </w:pPr>
    <w:rPr>
      <w:b/>
      <w:bCs/>
      <w:sz w:val="24"/>
      <w:szCs w:val="24"/>
    </w:rPr>
  </w:style>
  <w:style w:type="paragraph" w:styleId="9">
    <w:name w:val="heading 8"/>
    <w:basedOn w:val="1"/>
    <w:next w:val="1"/>
    <w:link w:val="76"/>
    <w:qFormat/>
    <w:uiPriority w:val="0"/>
    <w:pPr>
      <w:keepNext/>
      <w:keepLines/>
      <w:spacing w:before="240" w:after="64" w:line="319" w:lineRule="auto"/>
      <w:outlineLvl w:val="7"/>
    </w:pPr>
    <w:rPr>
      <w:rFonts w:ascii="Arial" w:hAnsi="Arial" w:eastAsia="黑体"/>
      <w:sz w:val="24"/>
      <w:szCs w:val="24"/>
    </w:rPr>
  </w:style>
  <w:style w:type="paragraph" w:styleId="10">
    <w:name w:val="heading 9"/>
    <w:basedOn w:val="1"/>
    <w:next w:val="1"/>
    <w:link w:val="77"/>
    <w:qFormat/>
    <w:uiPriority w:val="0"/>
    <w:pPr>
      <w:keepNext/>
      <w:keepLines/>
      <w:spacing w:before="240" w:after="64" w:line="319" w:lineRule="auto"/>
      <w:outlineLvl w:val="8"/>
    </w:pPr>
    <w:rPr>
      <w:rFonts w:ascii="Arial" w:hAnsi="Arial" w:eastAsia="黑体"/>
      <w:szCs w:val="21"/>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sz w:val="18"/>
    </w:rPr>
  </w:style>
  <w:style w:type="paragraph" w:styleId="12">
    <w:name w:val="List Bullet 4"/>
    <w:basedOn w:val="1"/>
    <w:qFormat/>
    <w:uiPriority w:val="0"/>
    <w:pPr>
      <w:tabs>
        <w:tab w:val="left" w:pos="1620"/>
      </w:tabs>
      <w:ind w:left="1620" w:leftChars="600" w:hanging="360" w:hangingChars="200"/>
    </w:pPr>
    <w:rPr>
      <w:szCs w:val="24"/>
    </w:rPr>
  </w:style>
  <w:style w:type="paragraph" w:styleId="13">
    <w:name w:val="Normal Indent"/>
    <w:basedOn w:val="1"/>
    <w:qFormat/>
    <w:uiPriority w:val="0"/>
    <w:pPr>
      <w:ind w:firstLine="420" w:firstLineChars="200"/>
    </w:pPr>
    <w:rPr>
      <w:szCs w:val="24"/>
    </w:rPr>
  </w:style>
  <w:style w:type="paragraph" w:styleId="14">
    <w:name w:val="List Bullet"/>
    <w:basedOn w:val="1"/>
    <w:qFormat/>
    <w:uiPriority w:val="0"/>
    <w:pPr>
      <w:tabs>
        <w:tab w:val="left" w:pos="360"/>
      </w:tabs>
      <w:ind w:left="360" w:hanging="360" w:hangingChars="200"/>
    </w:pPr>
    <w:rPr>
      <w:szCs w:val="24"/>
    </w:rPr>
  </w:style>
  <w:style w:type="paragraph" w:styleId="15">
    <w:name w:val="Document Map"/>
    <w:basedOn w:val="1"/>
    <w:link w:val="78"/>
    <w:qFormat/>
    <w:uiPriority w:val="0"/>
    <w:pPr>
      <w:shd w:val="clear" w:color="auto" w:fill="000080"/>
    </w:pPr>
    <w:rPr>
      <w:shd w:val="clear" w:color="auto" w:fill="000080"/>
    </w:rPr>
  </w:style>
  <w:style w:type="paragraph" w:styleId="16">
    <w:name w:val="annotation text"/>
    <w:basedOn w:val="1"/>
    <w:link w:val="79"/>
    <w:qFormat/>
    <w:uiPriority w:val="0"/>
    <w:pPr>
      <w:jc w:val="left"/>
    </w:pPr>
  </w:style>
  <w:style w:type="paragraph" w:styleId="17">
    <w:name w:val="Body Text 3"/>
    <w:basedOn w:val="1"/>
    <w:link w:val="80"/>
    <w:qFormat/>
    <w:uiPriority w:val="0"/>
    <w:pPr>
      <w:spacing w:after="120"/>
    </w:pPr>
    <w:rPr>
      <w:sz w:val="16"/>
      <w:szCs w:val="16"/>
    </w:rPr>
  </w:style>
  <w:style w:type="paragraph" w:styleId="18">
    <w:name w:val="List Bullet 3"/>
    <w:basedOn w:val="1"/>
    <w:qFormat/>
    <w:uiPriority w:val="0"/>
    <w:pPr>
      <w:tabs>
        <w:tab w:val="left" w:pos="1200"/>
      </w:tabs>
      <w:ind w:left="1200" w:leftChars="400" w:hanging="360" w:hangingChars="200"/>
    </w:pPr>
    <w:rPr>
      <w:szCs w:val="24"/>
    </w:rPr>
  </w:style>
  <w:style w:type="paragraph" w:styleId="19">
    <w:name w:val="Body Text"/>
    <w:basedOn w:val="1"/>
    <w:link w:val="68"/>
    <w:qFormat/>
    <w:uiPriority w:val="99"/>
    <w:rPr>
      <w:sz w:val="26"/>
    </w:rPr>
  </w:style>
  <w:style w:type="paragraph" w:styleId="20">
    <w:name w:val="Body Text Indent"/>
    <w:basedOn w:val="1"/>
    <w:link w:val="81"/>
    <w:qFormat/>
    <w:uiPriority w:val="0"/>
    <w:pPr>
      <w:spacing w:line="360" w:lineRule="auto"/>
      <w:ind w:firstLine="560" w:firstLineChars="200"/>
    </w:pPr>
    <w:rPr>
      <w:rFonts w:ascii="黑体" w:hAnsi="宋体" w:eastAsia="黑体"/>
      <w:color w:val="000000"/>
      <w:sz w:val="28"/>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tabs>
        <w:tab w:val="left" w:pos="780"/>
      </w:tabs>
      <w:ind w:left="780" w:leftChars="200" w:hanging="360" w:hangingChars="200"/>
    </w:pPr>
    <w:rPr>
      <w:szCs w:val="24"/>
    </w:rPr>
  </w:style>
  <w:style w:type="paragraph" w:styleId="23">
    <w:name w:val="toc 5"/>
    <w:basedOn w:val="1"/>
    <w:next w:val="1"/>
    <w:qFormat/>
    <w:uiPriority w:val="0"/>
    <w:pPr>
      <w:ind w:left="840"/>
      <w:jc w:val="left"/>
    </w:pPr>
    <w:rPr>
      <w:rFonts w:ascii="Calibri" w:hAnsi="Calibri"/>
      <w:sz w:val="18"/>
    </w:rPr>
  </w:style>
  <w:style w:type="paragraph" w:styleId="24">
    <w:name w:val="toc 3"/>
    <w:basedOn w:val="1"/>
    <w:next w:val="1"/>
    <w:qFormat/>
    <w:uiPriority w:val="39"/>
    <w:pPr>
      <w:ind w:left="420"/>
      <w:jc w:val="left"/>
    </w:pPr>
    <w:rPr>
      <w:rFonts w:ascii="Calibri" w:hAnsi="Calibri" w:eastAsia="仿宋_GB2312"/>
    </w:rPr>
  </w:style>
  <w:style w:type="paragraph" w:styleId="25">
    <w:name w:val="Plain Text"/>
    <w:basedOn w:val="1"/>
    <w:link w:val="82"/>
    <w:qFormat/>
    <w:uiPriority w:val="0"/>
    <w:rPr>
      <w:rFonts w:ascii="宋体" w:hAnsi="Courier New"/>
      <w:sz w:val="28"/>
    </w:rPr>
  </w:style>
  <w:style w:type="paragraph" w:styleId="26">
    <w:name w:val="List Bullet 5"/>
    <w:basedOn w:val="1"/>
    <w:qFormat/>
    <w:uiPriority w:val="0"/>
    <w:pPr>
      <w:tabs>
        <w:tab w:val="left" w:pos="2040"/>
      </w:tabs>
      <w:ind w:left="2040" w:leftChars="800" w:hanging="360" w:hangingChars="200"/>
    </w:pPr>
    <w:rPr>
      <w:szCs w:val="24"/>
    </w:rPr>
  </w:style>
  <w:style w:type="paragraph" w:styleId="27">
    <w:name w:val="toc 8"/>
    <w:basedOn w:val="1"/>
    <w:next w:val="1"/>
    <w:qFormat/>
    <w:uiPriority w:val="0"/>
    <w:pPr>
      <w:ind w:left="1470"/>
      <w:jc w:val="left"/>
    </w:pPr>
    <w:rPr>
      <w:rFonts w:ascii="Calibri" w:hAnsi="Calibri"/>
      <w:sz w:val="18"/>
    </w:rPr>
  </w:style>
  <w:style w:type="paragraph" w:styleId="28">
    <w:name w:val="Date"/>
    <w:basedOn w:val="1"/>
    <w:next w:val="1"/>
    <w:link w:val="83"/>
    <w:qFormat/>
    <w:uiPriority w:val="0"/>
    <w:rPr>
      <w:sz w:val="24"/>
    </w:rPr>
  </w:style>
  <w:style w:type="paragraph" w:styleId="29">
    <w:name w:val="Body Text Indent 2"/>
    <w:basedOn w:val="1"/>
    <w:link w:val="84"/>
    <w:qFormat/>
    <w:uiPriority w:val="0"/>
    <w:pPr>
      <w:ind w:left="1005" w:hanging="1005"/>
    </w:pPr>
    <w:rPr>
      <w:rFonts w:eastAsia="仿宋_GB2312"/>
      <w:sz w:val="32"/>
    </w:rPr>
  </w:style>
  <w:style w:type="paragraph" w:styleId="30">
    <w:name w:val="endnote text"/>
    <w:basedOn w:val="1"/>
    <w:link w:val="85"/>
    <w:qFormat/>
    <w:uiPriority w:val="0"/>
    <w:pPr>
      <w:widowControl/>
      <w:snapToGrid w:val="0"/>
      <w:jc w:val="left"/>
    </w:pPr>
    <w:rPr>
      <w:rFonts w:ascii="Arial" w:hAnsi="Arial"/>
      <w:kern w:val="0"/>
      <w:sz w:val="20"/>
      <w:szCs w:val="24"/>
      <w:lang w:eastAsia="en-US"/>
    </w:rPr>
  </w:style>
  <w:style w:type="paragraph" w:styleId="31">
    <w:name w:val="Balloon Text"/>
    <w:basedOn w:val="1"/>
    <w:link w:val="86"/>
    <w:qFormat/>
    <w:uiPriority w:val="0"/>
    <w:rPr>
      <w:sz w:val="18"/>
    </w:rPr>
  </w:style>
  <w:style w:type="paragraph" w:styleId="32">
    <w:name w:val="footer"/>
    <w:basedOn w:val="1"/>
    <w:link w:val="87"/>
    <w:qFormat/>
    <w:uiPriority w:val="99"/>
    <w:pPr>
      <w:tabs>
        <w:tab w:val="center" w:pos="4153"/>
        <w:tab w:val="right" w:pos="8306"/>
      </w:tabs>
      <w:snapToGrid w:val="0"/>
      <w:jc w:val="left"/>
    </w:pPr>
    <w:rPr>
      <w:sz w:val="18"/>
    </w:rPr>
  </w:style>
  <w:style w:type="paragraph" w:styleId="33">
    <w:name w:val="header"/>
    <w:basedOn w:val="1"/>
    <w:link w:val="88"/>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spacing w:before="120" w:after="120"/>
      <w:jc w:val="left"/>
    </w:pPr>
    <w:rPr>
      <w:rFonts w:ascii="Calibri" w:hAnsi="Calibri" w:eastAsia="仿宋_GB2312"/>
      <w:b/>
      <w:caps/>
      <w:sz w:val="28"/>
    </w:rPr>
  </w:style>
  <w:style w:type="paragraph" w:styleId="35">
    <w:name w:val="toc 4"/>
    <w:basedOn w:val="1"/>
    <w:next w:val="1"/>
    <w:qFormat/>
    <w:uiPriority w:val="0"/>
    <w:pPr>
      <w:ind w:left="630"/>
      <w:jc w:val="left"/>
    </w:pPr>
    <w:rPr>
      <w:rFonts w:ascii="Calibri" w:hAnsi="Calibri"/>
      <w:sz w:val="18"/>
    </w:rPr>
  </w:style>
  <w:style w:type="paragraph" w:styleId="36">
    <w:name w:val="Subtitle"/>
    <w:basedOn w:val="1"/>
    <w:link w:val="89"/>
    <w:qFormat/>
    <w:uiPriority w:val="0"/>
    <w:pPr>
      <w:widowControl/>
      <w:jc w:val="center"/>
    </w:pPr>
    <w:rPr>
      <w:szCs w:val="24"/>
      <w:u w:val="single"/>
      <w:lang w:eastAsia="en-US"/>
    </w:rPr>
  </w:style>
  <w:style w:type="paragraph" w:styleId="37">
    <w:name w:val="footnote text"/>
    <w:basedOn w:val="1"/>
    <w:link w:val="90"/>
    <w:qFormat/>
    <w:uiPriority w:val="0"/>
    <w:pPr>
      <w:snapToGrid w:val="0"/>
      <w:jc w:val="left"/>
    </w:pPr>
    <w:rPr>
      <w:sz w:val="18"/>
    </w:rPr>
  </w:style>
  <w:style w:type="paragraph" w:styleId="38">
    <w:name w:val="toc 6"/>
    <w:basedOn w:val="1"/>
    <w:next w:val="1"/>
    <w:qFormat/>
    <w:uiPriority w:val="0"/>
    <w:pPr>
      <w:ind w:left="1050"/>
      <w:jc w:val="left"/>
    </w:pPr>
    <w:rPr>
      <w:rFonts w:ascii="Calibri" w:hAnsi="Calibri"/>
      <w:sz w:val="18"/>
    </w:rPr>
  </w:style>
  <w:style w:type="paragraph" w:styleId="39">
    <w:name w:val="Body Text Indent 3"/>
    <w:basedOn w:val="1"/>
    <w:link w:val="91"/>
    <w:qFormat/>
    <w:uiPriority w:val="0"/>
    <w:pPr>
      <w:spacing w:after="120"/>
      <w:ind w:left="420" w:leftChars="200"/>
    </w:pPr>
    <w:rPr>
      <w:sz w:val="16"/>
    </w:rPr>
  </w:style>
  <w:style w:type="paragraph" w:styleId="40">
    <w:name w:val="toc 2"/>
    <w:basedOn w:val="1"/>
    <w:next w:val="1"/>
    <w:qFormat/>
    <w:uiPriority w:val="39"/>
    <w:pPr>
      <w:tabs>
        <w:tab w:val="right" w:leader="dot" w:pos="8609"/>
      </w:tabs>
      <w:ind w:left="210"/>
      <w:jc w:val="distribute"/>
    </w:pPr>
    <w:rPr>
      <w:rFonts w:ascii="Calibri" w:hAnsi="Calibri" w:eastAsia="仿宋_GB2312"/>
      <w:smallCaps/>
    </w:rPr>
  </w:style>
  <w:style w:type="paragraph" w:styleId="41">
    <w:name w:val="toc 9"/>
    <w:basedOn w:val="1"/>
    <w:next w:val="1"/>
    <w:qFormat/>
    <w:uiPriority w:val="0"/>
    <w:pPr>
      <w:ind w:left="1680"/>
      <w:jc w:val="left"/>
    </w:pPr>
    <w:rPr>
      <w:rFonts w:ascii="Calibri" w:hAnsi="Calibri"/>
      <w:sz w:val="18"/>
    </w:rPr>
  </w:style>
  <w:style w:type="paragraph" w:styleId="42">
    <w:name w:val="Body Text 2"/>
    <w:basedOn w:val="1"/>
    <w:link w:val="92"/>
    <w:qFormat/>
    <w:uiPriority w:val="0"/>
    <w:rPr>
      <w:i/>
      <w:sz w:val="26"/>
    </w:rPr>
  </w:style>
  <w:style w:type="paragraph" w:styleId="43">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qFormat/>
    <w:uiPriority w:val="0"/>
    <w:pPr>
      <w:widowControl/>
      <w:spacing w:before="100" w:beforeAutospacing="1" w:after="100" w:afterAutospacing="1"/>
      <w:jc w:val="left"/>
    </w:pPr>
    <w:rPr>
      <w:kern w:val="0"/>
      <w:sz w:val="24"/>
    </w:rPr>
  </w:style>
  <w:style w:type="paragraph" w:styleId="45">
    <w:name w:val="Title"/>
    <w:basedOn w:val="1"/>
    <w:next w:val="1"/>
    <w:link w:val="94"/>
    <w:qFormat/>
    <w:uiPriority w:val="0"/>
    <w:pPr>
      <w:widowControl/>
      <w:jc w:val="center"/>
    </w:pPr>
    <w:rPr>
      <w:kern w:val="0"/>
      <w:sz w:val="20"/>
      <w:szCs w:val="24"/>
      <w:u w:val="single"/>
      <w:lang w:eastAsia="en-US"/>
    </w:rPr>
  </w:style>
  <w:style w:type="paragraph" w:styleId="46">
    <w:name w:val="annotation subject"/>
    <w:basedOn w:val="16"/>
    <w:next w:val="16"/>
    <w:link w:val="95"/>
    <w:qFormat/>
    <w:uiPriority w:val="0"/>
    <w:rPr>
      <w:sz w:val="24"/>
    </w:rPr>
  </w:style>
  <w:style w:type="paragraph" w:styleId="47">
    <w:name w:val="Body Text First Indent"/>
    <w:basedOn w:val="19"/>
    <w:next w:val="48"/>
    <w:link w:val="211"/>
    <w:semiHidden/>
    <w:unhideWhenUsed/>
    <w:qFormat/>
    <w:uiPriority w:val="99"/>
    <w:pPr>
      <w:spacing w:after="120"/>
      <w:ind w:firstLine="420" w:firstLineChars="100"/>
    </w:pPr>
    <w:rPr>
      <w:sz w:val="21"/>
    </w:rPr>
  </w:style>
  <w:style w:type="paragraph" w:customStyle="1" w:styleId="48">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49">
    <w:name w:val="Body Text First Indent 2"/>
    <w:basedOn w:val="20"/>
    <w:link w:val="96"/>
    <w:qFormat/>
    <w:uiPriority w:val="0"/>
    <w:pPr>
      <w:spacing w:after="120" w:line="240" w:lineRule="auto"/>
      <w:ind w:left="420" w:leftChars="200" w:firstLine="420"/>
    </w:pPr>
    <w:rPr>
      <w:sz w:val="21"/>
      <w:szCs w:val="24"/>
    </w:rPr>
  </w:style>
  <w:style w:type="table" w:styleId="51">
    <w:name w:val="Table Grid"/>
    <w:basedOn w:val="5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rPr>
  </w:style>
  <w:style w:type="character" w:styleId="54">
    <w:name w:val="page number"/>
    <w:qFormat/>
    <w:uiPriority w:val="0"/>
  </w:style>
  <w:style w:type="character" w:styleId="55">
    <w:name w:val="FollowedHyperlink"/>
    <w:qFormat/>
    <w:uiPriority w:val="0"/>
    <w:rPr>
      <w:color w:val="333333"/>
      <w:u w:val="none"/>
    </w:rPr>
  </w:style>
  <w:style w:type="character" w:styleId="56">
    <w:name w:val="Emphasis"/>
    <w:qFormat/>
    <w:uiPriority w:val="0"/>
    <w:rPr>
      <w:i/>
      <w:iCs/>
    </w:rPr>
  </w:style>
  <w:style w:type="character" w:styleId="57">
    <w:name w:val="HTML Definition"/>
    <w:unhideWhenUsed/>
    <w:qFormat/>
    <w:uiPriority w:val="99"/>
  </w:style>
  <w:style w:type="character" w:styleId="58">
    <w:name w:val="HTML Typewriter"/>
    <w:unhideWhenUsed/>
    <w:qFormat/>
    <w:uiPriority w:val="99"/>
    <w:rPr>
      <w:rFonts w:ascii="monospace" w:hAnsi="monospace" w:eastAsia="monospace" w:cs="monospace"/>
      <w:sz w:val="20"/>
    </w:rPr>
  </w:style>
  <w:style w:type="character" w:styleId="59">
    <w:name w:val="HTML Acronym"/>
    <w:unhideWhenUsed/>
    <w:qFormat/>
    <w:uiPriority w:val="99"/>
  </w:style>
  <w:style w:type="character" w:styleId="60">
    <w:name w:val="HTML Variable"/>
    <w:unhideWhenUsed/>
    <w:qFormat/>
    <w:uiPriority w:val="99"/>
  </w:style>
  <w:style w:type="character" w:styleId="61">
    <w:name w:val="Hyperlink"/>
    <w:qFormat/>
    <w:uiPriority w:val="99"/>
    <w:rPr>
      <w:color w:val="333333"/>
      <w:u w:val="none"/>
    </w:rPr>
  </w:style>
  <w:style w:type="character" w:styleId="62">
    <w:name w:val="HTML Code"/>
    <w:unhideWhenUsed/>
    <w:qFormat/>
    <w:uiPriority w:val="99"/>
    <w:rPr>
      <w:rFonts w:hint="default" w:ascii="monospace" w:hAnsi="monospace" w:eastAsia="monospace" w:cs="monospace"/>
      <w:sz w:val="21"/>
      <w:szCs w:val="21"/>
    </w:rPr>
  </w:style>
  <w:style w:type="character" w:styleId="63">
    <w:name w:val="annotation reference"/>
    <w:qFormat/>
    <w:uiPriority w:val="0"/>
    <w:rPr>
      <w:sz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1"/>
      <w:szCs w:val="21"/>
    </w:rPr>
  </w:style>
  <w:style w:type="character" w:styleId="67">
    <w:name w:val="HTML Sample"/>
    <w:unhideWhenUsed/>
    <w:qFormat/>
    <w:uiPriority w:val="99"/>
    <w:rPr>
      <w:rFonts w:hint="default" w:ascii="monospace" w:hAnsi="monospace" w:eastAsia="monospace" w:cs="monospace"/>
      <w:sz w:val="21"/>
      <w:szCs w:val="21"/>
    </w:rPr>
  </w:style>
  <w:style w:type="character" w:customStyle="1" w:styleId="68">
    <w:name w:val="正文文本 Char"/>
    <w:link w:val="19"/>
    <w:qFormat/>
    <w:uiPriority w:val="99"/>
    <w:rPr>
      <w:kern w:val="2"/>
      <w:sz w:val="26"/>
    </w:rPr>
  </w:style>
  <w:style w:type="character" w:customStyle="1" w:styleId="69">
    <w:name w:val="标题 1 Char"/>
    <w:link w:val="2"/>
    <w:qFormat/>
    <w:uiPriority w:val="0"/>
    <w:rPr>
      <w:rFonts w:eastAsia="黑体"/>
      <w:kern w:val="2"/>
      <w:sz w:val="44"/>
    </w:rPr>
  </w:style>
  <w:style w:type="character" w:customStyle="1" w:styleId="70">
    <w:name w:val="标题 2 Char"/>
    <w:link w:val="3"/>
    <w:qFormat/>
    <w:uiPriority w:val="0"/>
    <w:rPr>
      <w:rFonts w:ascii="仿宋_GB2312" w:eastAsia="仿宋_GB2312"/>
      <w:b/>
      <w:spacing w:val="1"/>
      <w:w w:val="99"/>
      <w:kern w:val="2"/>
      <w:sz w:val="28"/>
      <w:lang w:val="en-US" w:eastAsia="zh-CN" w:bidi="ar-SA"/>
    </w:rPr>
  </w:style>
  <w:style w:type="character" w:customStyle="1" w:styleId="71">
    <w:name w:val="标题 3 Char"/>
    <w:link w:val="4"/>
    <w:qFormat/>
    <w:uiPriority w:val="0"/>
    <w:rPr>
      <w:rFonts w:ascii="仿宋_GB2312" w:eastAsia="仿宋_GB2312"/>
      <w:b/>
      <w:kern w:val="2"/>
      <w:sz w:val="24"/>
      <w:lang w:val="en-US" w:eastAsia="zh-CN" w:bidi="ar-SA"/>
    </w:rPr>
  </w:style>
  <w:style w:type="character" w:customStyle="1" w:styleId="72">
    <w:name w:val="标题 4 Char"/>
    <w:link w:val="5"/>
    <w:qFormat/>
    <w:uiPriority w:val="0"/>
    <w:rPr>
      <w:rFonts w:ascii="仿宋_GB2312" w:eastAsia="仿宋_GB2312"/>
      <w:b/>
      <w:kern w:val="2"/>
      <w:sz w:val="24"/>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0"/>
    <w:rPr>
      <w:b/>
      <w:bCs/>
      <w:kern w:val="2"/>
      <w:sz w:val="24"/>
      <w:szCs w:val="24"/>
    </w:rPr>
  </w:style>
  <w:style w:type="character" w:customStyle="1" w:styleId="76">
    <w:name w:val="标题 8 Char"/>
    <w:link w:val="9"/>
    <w:qFormat/>
    <w:uiPriority w:val="0"/>
    <w:rPr>
      <w:rFonts w:ascii="Arial" w:hAnsi="Arial" w:eastAsia="黑体"/>
      <w:kern w:val="2"/>
      <w:sz w:val="24"/>
      <w:szCs w:val="24"/>
    </w:rPr>
  </w:style>
  <w:style w:type="character" w:customStyle="1" w:styleId="77">
    <w:name w:val="标题 9 Char"/>
    <w:link w:val="10"/>
    <w:qFormat/>
    <w:uiPriority w:val="0"/>
    <w:rPr>
      <w:rFonts w:ascii="Arial" w:hAnsi="Arial" w:eastAsia="黑体"/>
      <w:kern w:val="2"/>
      <w:sz w:val="21"/>
      <w:szCs w:val="21"/>
    </w:rPr>
  </w:style>
  <w:style w:type="character" w:customStyle="1" w:styleId="78">
    <w:name w:val="文档结构图 Char"/>
    <w:link w:val="15"/>
    <w:qFormat/>
    <w:uiPriority w:val="0"/>
    <w:rPr>
      <w:kern w:val="2"/>
      <w:sz w:val="21"/>
      <w:shd w:val="clear" w:color="auto" w:fill="000080"/>
    </w:rPr>
  </w:style>
  <w:style w:type="character" w:customStyle="1" w:styleId="79">
    <w:name w:val="批注文字 Char"/>
    <w:link w:val="16"/>
    <w:qFormat/>
    <w:uiPriority w:val="0"/>
    <w:rPr>
      <w:kern w:val="2"/>
      <w:sz w:val="21"/>
    </w:rPr>
  </w:style>
  <w:style w:type="character" w:customStyle="1" w:styleId="80">
    <w:name w:val="正文文本 3 Char"/>
    <w:link w:val="17"/>
    <w:qFormat/>
    <w:uiPriority w:val="0"/>
    <w:rPr>
      <w:kern w:val="2"/>
      <w:sz w:val="16"/>
      <w:szCs w:val="16"/>
    </w:rPr>
  </w:style>
  <w:style w:type="character" w:customStyle="1" w:styleId="81">
    <w:name w:val="正文文本缩进 Char"/>
    <w:link w:val="20"/>
    <w:qFormat/>
    <w:uiPriority w:val="0"/>
    <w:rPr>
      <w:rFonts w:ascii="黑体" w:hAnsi="宋体" w:eastAsia="黑体"/>
      <w:color w:val="000000"/>
      <w:kern w:val="2"/>
      <w:sz w:val="28"/>
    </w:rPr>
  </w:style>
  <w:style w:type="character" w:customStyle="1" w:styleId="82">
    <w:name w:val="纯文本 Char"/>
    <w:link w:val="25"/>
    <w:qFormat/>
    <w:uiPriority w:val="0"/>
    <w:rPr>
      <w:rFonts w:ascii="宋体" w:hAnsi="Courier New" w:eastAsia="宋体"/>
      <w:kern w:val="2"/>
      <w:sz w:val="28"/>
      <w:lang w:val="en-US" w:eastAsia="zh-CN" w:bidi="ar-SA"/>
    </w:rPr>
  </w:style>
  <w:style w:type="character" w:customStyle="1" w:styleId="83">
    <w:name w:val="日期 Char"/>
    <w:link w:val="28"/>
    <w:qFormat/>
    <w:uiPriority w:val="0"/>
    <w:rPr>
      <w:kern w:val="2"/>
      <w:sz w:val="24"/>
    </w:rPr>
  </w:style>
  <w:style w:type="character" w:customStyle="1" w:styleId="84">
    <w:name w:val="正文文本缩进 2 Char"/>
    <w:link w:val="29"/>
    <w:qFormat/>
    <w:uiPriority w:val="0"/>
    <w:rPr>
      <w:rFonts w:eastAsia="仿宋_GB2312"/>
      <w:kern w:val="2"/>
      <w:sz w:val="32"/>
    </w:rPr>
  </w:style>
  <w:style w:type="character" w:customStyle="1" w:styleId="85">
    <w:name w:val="尾注文本 Char"/>
    <w:link w:val="30"/>
    <w:qFormat/>
    <w:uiPriority w:val="0"/>
    <w:rPr>
      <w:rFonts w:ascii="Arial" w:hAnsi="Arial"/>
      <w:szCs w:val="24"/>
      <w:lang w:eastAsia="en-US"/>
    </w:rPr>
  </w:style>
  <w:style w:type="character" w:customStyle="1" w:styleId="86">
    <w:name w:val="批注框文本 Char"/>
    <w:link w:val="31"/>
    <w:qFormat/>
    <w:uiPriority w:val="0"/>
    <w:rPr>
      <w:kern w:val="2"/>
      <w:sz w:val="18"/>
    </w:rPr>
  </w:style>
  <w:style w:type="character" w:customStyle="1" w:styleId="87">
    <w:name w:val="页脚 Char"/>
    <w:link w:val="32"/>
    <w:qFormat/>
    <w:uiPriority w:val="99"/>
    <w:rPr>
      <w:kern w:val="2"/>
      <w:sz w:val="18"/>
    </w:rPr>
  </w:style>
  <w:style w:type="character" w:customStyle="1" w:styleId="88">
    <w:name w:val="页眉 Char"/>
    <w:link w:val="33"/>
    <w:qFormat/>
    <w:uiPriority w:val="0"/>
    <w:rPr>
      <w:kern w:val="2"/>
      <w:sz w:val="18"/>
    </w:rPr>
  </w:style>
  <w:style w:type="character" w:customStyle="1" w:styleId="89">
    <w:name w:val="副标题 Char"/>
    <w:link w:val="36"/>
    <w:qFormat/>
    <w:uiPriority w:val="0"/>
    <w:rPr>
      <w:rFonts w:eastAsia="宋体"/>
      <w:kern w:val="2"/>
      <w:sz w:val="21"/>
      <w:szCs w:val="24"/>
      <w:u w:val="single"/>
      <w:lang w:val="en-US" w:eastAsia="en-US" w:bidi="ar-SA"/>
    </w:rPr>
  </w:style>
  <w:style w:type="character" w:customStyle="1" w:styleId="90">
    <w:name w:val="脚注文本 Char"/>
    <w:link w:val="37"/>
    <w:qFormat/>
    <w:uiPriority w:val="0"/>
    <w:rPr>
      <w:kern w:val="2"/>
      <w:sz w:val="18"/>
    </w:rPr>
  </w:style>
  <w:style w:type="character" w:customStyle="1" w:styleId="91">
    <w:name w:val="正文文本缩进 3 Char"/>
    <w:link w:val="39"/>
    <w:qFormat/>
    <w:uiPriority w:val="0"/>
    <w:rPr>
      <w:kern w:val="2"/>
      <w:sz w:val="16"/>
    </w:rPr>
  </w:style>
  <w:style w:type="character" w:customStyle="1" w:styleId="92">
    <w:name w:val="正文文本 2 Char"/>
    <w:link w:val="42"/>
    <w:qFormat/>
    <w:uiPriority w:val="0"/>
    <w:rPr>
      <w:i/>
      <w:kern w:val="2"/>
      <w:sz w:val="26"/>
    </w:rPr>
  </w:style>
  <w:style w:type="character" w:customStyle="1" w:styleId="93">
    <w:name w:val="HTML 预设格式 Char"/>
    <w:link w:val="43"/>
    <w:qFormat/>
    <w:uiPriority w:val="0"/>
    <w:rPr>
      <w:rFonts w:ascii="Arial" w:hAnsi="Arial" w:cs="Arial"/>
      <w:sz w:val="24"/>
      <w:szCs w:val="24"/>
    </w:rPr>
  </w:style>
  <w:style w:type="character" w:customStyle="1" w:styleId="94">
    <w:name w:val="标题 Char"/>
    <w:link w:val="45"/>
    <w:qFormat/>
    <w:uiPriority w:val="0"/>
    <w:rPr>
      <w:szCs w:val="24"/>
      <w:u w:val="single"/>
      <w:lang w:eastAsia="en-US"/>
    </w:rPr>
  </w:style>
  <w:style w:type="character" w:customStyle="1" w:styleId="95">
    <w:name w:val="批注主题 Char"/>
    <w:link w:val="46"/>
    <w:qFormat/>
    <w:uiPriority w:val="0"/>
    <w:rPr>
      <w:kern w:val="2"/>
      <w:sz w:val="24"/>
    </w:rPr>
  </w:style>
  <w:style w:type="character" w:customStyle="1" w:styleId="96">
    <w:name w:val="正文首行缩进 2 Char"/>
    <w:link w:val="49"/>
    <w:qFormat/>
    <w:uiPriority w:val="0"/>
    <w:rPr>
      <w:rFonts w:ascii="黑体" w:hAnsi="宋体" w:eastAsia="黑体"/>
      <w:color w:val="000000"/>
      <w:kern w:val="2"/>
      <w:sz w:val="21"/>
      <w:szCs w:val="24"/>
    </w:rPr>
  </w:style>
  <w:style w:type="character" w:customStyle="1" w:styleId="97">
    <w:name w:val="Char Char11"/>
    <w:qFormat/>
    <w:uiPriority w:val="0"/>
    <w:rPr>
      <w:rFonts w:eastAsia="黑体"/>
      <w:kern w:val="2"/>
      <w:sz w:val="44"/>
      <w:lang w:val="en-US" w:eastAsia="zh-CN"/>
    </w:rPr>
  </w:style>
  <w:style w:type="character" w:customStyle="1" w:styleId="98">
    <w:name w:val="icon30"/>
    <w:qFormat/>
    <w:uiPriority w:val="0"/>
  </w:style>
  <w:style w:type="character" w:customStyle="1" w:styleId="99">
    <w:name w:val="Char Char4"/>
    <w:qFormat/>
    <w:uiPriority w:val="0"/>
    <w:rPr>
      <w:rFonts w:ascii="宋体" w:hAnsi="Courier New"/>
      <w:kern w:val="2"/>
      <w:sz w:val="28"/>
    </w:rPr>
  </w:style>
  <w:style w:type="character" w:customStyle="1" w:styleId="100">
    <w:name w:val="Char Char5"/>
    <w:qFormat/>
    <w:uiPriority w:val="0"/>
    <w:rPr>
      <w:kern w:val="2"/>
      <w:sz w:val="18"/>
    </w:rPr>
  </w:style>
  <w:style w:type="character" w:customStyle="1" w:styleId="101">
    <w:name w:val="icon29"/>
    <w:qFormat/>
    <w:uiPriority w:val="0"/>
  </w:style>
  <w:style w:type="character" w:customStyle="1" w:styleId="102">
    <w:name w:val="Char Char8"/>
    <w:qFormat/>
    <w:uiPriority w:val="0"/>
    <w:rPr>
      <w:rFonts w:ascii="仿宋_GB2312" w:eastAsia="仿宋_GB2312"/>
      <w:b/>
      <w:sz w:val="24"/>
    </w:rPr>
  </w:style>
  <w:style w:type="character" w:customStyle="1" w:styleId="103">
    <w:name w:val="列出段落 Char"/>
    <w:link w:val="104"/>
    <w:qFormat/>
    <w:uiPriority w:val="0"/>
    <w:rPr>
      <w:kern w:val="2"/>
      <w:sz w:val="28"/>
    </w:rPr>
  </w:style>
  <w:style w:type="paragraph" w:styleId="104">
    <w:name w:val="List Paragraph"/>
    <w:basedOn w:val="1"/>
    <w:link w:val="103"/>
    <w:qFormat/>
    <w:uiPriority w:val="0"/>
    <w:pPr>
      <w:ind w:firstLine="420" w:firstLineChars="200"/>
    </w:pPr>
    <w:rPr>
      <w:sz w:val="28"/>
    </w:rPr>
  </w:style>
  <w:style w:type="character" w:customStyle="1" w:styleId="105">
    <w:name w:val="font21"/>
    <w:qFormat/>
    <w:uiPriority w:val="0"/>
    <w:rPr>
      <w:rFonts w:hint="eastAsia" w:ascii="宋体" w:hAnsi="宋体" w:eastAsia="宋体" w:cs="宋体"/>
      <w:color w:val="000000"/>
      <w:sz w:val="22"/>
      <w:szCs w:val="22"/>
      <w:u w:val="none"/>
    </w:rPr>
  </w:style>
  <w:style w:type="character" w:customStyle="1" w:styleId="106">
    <w:name w:val="Char Char3"/>
    <w:qFormat/>
    <w:uiPriority w:val="0"/>
    <w:rPr>
      <w:rFonts w:hint="eastAsia" w:ascii="宋体" w:hAnsi="宋体" w:eastAsia="宋体"/>
      <w:kern w:val="2"/>
      <w:sz w:val="18"/>
      <w:szCs w:val="18"/>
      <w:lang w:val="en-US" w:eastAsia="zh-CN" w:bidi="ar-SA"/>
    </w:rPr>
  </w:style>
  <w:style w:type="character" w:customStyle="1" w:styleId="107">
    <w:name w:val="标题 Char Char"/>
    <w:qFormat/>
    <w:uiPriority w:val="0"/>
    <w:rPr>
      <w:rFonts w:ascii="Cambria" w:hAnsi="Cambria" w:cs="Times New Roman"/>
      <w:b/>
      <w:bCs/>
      <w:kern w:val="2"/>
      <w:sz w:val="32"/>
      <w:szCs w:val="32"/>
    </w:rPr>
  </w:style>
  <w:style w:type="character" w:customStyle="1" w:styleId="108">
    <w:name w:val="Char Char2"/>
    <w:qFormat/>
    <w:uiPriority w:val="0"/>
    <w:rPr>
      <w:kern w:val="2"/>
      <w:sz w:val="26"/>
    </w:rPr>
  </w:style>
  <w:style w:type="character" w:customStyle="1" w:styleId="109">
    <w:name w:val="样式3 Char Char"/>
    <w:qFormat/>
    <w:uiPriority w:val="0"/>
    <w:rPr>
      <w:rFonts w:hint="eastAsia" w:ascii="宋体" w:hAnsi="宋体" w:eastAsia="仿宋_GB2312"/>
      <w:b/>
      <w:bCs/>
      <w:kern w:val="2"/>
      <w:sz w:val="24"/>
      <w:szCs w:val="32"/>
      <w:lang w:val="en-US" w:eastAsia="zh-CN" w:bidi="ar-SA"/>
    </w:rPr>
  </w:style>
  <w:style w:type="character" w:customStyle="1" w:styleId="110">
    <w:name w:val="Char Char6"/>
    <w:qFormat/>
    <w:uiPriority w:val="0"/>
    <w:rPr>
      <w:sz w:val="24"/>
    </w:rPr>
  </w:style>
  <w:style w:type="character" w:customStyle="1" w:styleId="111">
    <w:name w:val="Heading 1 Char"/>
    <w:qFormat/>
    <w:uiPriority w:val="0"/>
    <w:rPr>
      <w:rFonts w:hint="eastAsia" w:ascii="宋体" w:hAnsi="宋体" w:eastAsia="宋体"/>
      <w:b/>
      <w:bCs/>
      <w:kern w:val="44"/>
      <w:sz w:val="44"/>
      <w:szCs w:val="44"/>
      <w:lang w:val="en-US" w:eastAsia="zh-CN" w:bidi="ar-SA"/>
    </w:rPr>
  </w:style>
  <w:style w:type="character" w:customStyle="1" w:styleId="112">
    <w:name w:val="Char Char111"/>
    <w:qFormat/>
    <w:uiPriority w:val="0"/>
    <w:rPr>
      <w:rFonts w:eastAsia="黑体"/>
      <w:kern w:val="2"/>
      <w:sz w:val="44"/>
      <w:lang w:val="en-US" w:eastAsia="zh-CN"/>
    </w:rPr>
  </w:style>
  <w:style w:type="character" w:customStyle="1" w:styleId="113">
    <w:name w:val="Char Char31"/>
    <w:qFormat/>
    <w:uiPriority w:val="0"/>
    <w:rPr>
      <w:kern w:val="2"/>
      <w:sz w:val="18"/>
    </w:rPr>
  </w:style>
  <w:style w:type="character" w:customStyle="1" w:styleId="114">
    <w:name w:val="样式 Char Char"/>
    <w:qFormat/>
    <w:uiPriority w:val="0"/>
    <w:rPr>
      <w:rFonts w:ascii="宋体" w:hAnsi="宋体" w:eastAsia="宋体"/>
      <w:sz w:val="24"/>
      <w:lang w:val="en-US" w:eastAsia="zh-CN"/>
    </w:rPr>
  </w:style>
  <w:style w:type="character" w:customStyle="1" w:styleId="115">
    <w:name w:val="Char Char21"/>
    <w:qFormat/>
    <w:uiPriority w:val="0"/>
    <w:rPr>
      <w:rFonts w:hint="eastAsia" w:ascii="宋体" w:hAnsi="宋体" w:eastAsia="宋体"/>
      <w:sz w:val="24"/>
      <w:lang w:val="en-US" w:eastAsia="zh-CN" w:bidi="ar-SA"/>
    </w:rPr>
  </w:style>
  <w:style w:type="character" w:customStyle="1" w:styleId="116">
    <w:name w:val="Char Char Char"/>
    <w:qFormat/>
    <w:uiPriority w:val="0"/>
    <w:rPr>
      <w:kern w:val="2"/>
      <w:sz w:val="18"/>
    </w:rPr>
  </w:style>
  <w:style w:type="character" w:customStyle="1" w:styleId="117">
    <w:name w:val="Char Char34"/>
    <w:qFormat/>
    <w:uiPriority w:val="0"/>
    <w:rPr>
      <w:rFonts w:eastAsia="黑体"/>
      <w:kern w:val="2"/>
      <w:sz w:val="44"/>
      <w:lang w:val="en-US" w:eastAsia="zh-CN" w:bidi="ar-SA"/>
    </w:rPr>
  </w:style>
  <w:style w:type="character" w:customStyle="1" w:styleId="118">
    <w:name w:val="active4"/>
    <w:qFormat/>
    <w:uiPriority w:val="0"/>
    <w:rPr>
      <w:color w:val="FFFFFF"/>
      <w:shd w:val="clear" w:color="auto" w:fill="0084FF"/>
    </w:rPr>
  </w:style>
  <w:style w:type="character" w:customStyle="1" w:styleId="119">
    <w:name w:val="ca-141"/>
    <w:qFormat/>
    <w:uiPriority w:val="0"/>
    <w:rPr>
      <w:rFonts w:hint="eastAsia" w:ascii="仿宋_GB2312" w:eastAsia="仿宋_GB2312"/>
      <w:sz w:val="21"/>
      <w:szCs w:val="21"/>
    </w:rPr>
  </w:style>
  <w:style w:type="character" w:customStyle="1" w:styleId="120">
    <w:name w:val="Char Char9"/>
    <w:qFormat/>
    <w:uiPriority w:val="0"/>
    <w:rPr>
      <w:rFonts w:ascii="仿宋_GB2312" w:eastAsia="仿宋_GB2312"/>
      <w:b/>
      <w:sz w:val="24"/>
    </w:rPr>
  </w:style>
  <w:style w:type="character" w:customStyle="1" w:styleId="121">
    <w:name w:val="Char Char10"/>
    <w:qFormat/>
    <w:uiPriority w:val="0"/>
    <w:rPr>
      <w:rFonts w:ascii="仿宋_GB2312" w:eastAsia="仿宋_GB2312"/>
      <w:b/>
      <w:spacing w:val="1"/>
      <w:w w:val="99"/>
      <w:sz w:val="28"/>
    </w:rPr>
  </w:style>
  <w:style w:type="character" w:customStyle="1" w:styleId="122">
    <w:name w:val="Char Char7"/>
    <w:qFormat/>
    <w:uiPriority w:val="0"/>
    <w:rPr>
      <w:kern w:val="2"/>
      <w:sz w:val="18"/>
    </w:rPr>
  </w:style>
  <w:style w:type="character" w:customStyle="1" w:styleId="123">
    <w:name w:val="Char Char1"/>
    <w:qFormat/>
    <w:uiPriority w:val="0"/>
    <w:rPr>
      <w:rFonts w:hint="eastAsia" w:ascii="宋体" w:hAnsi="宋体" w:eastAsia="宋体"/>
      <w:kern w:val="2"/>
      <w:sz w:val="18"/>
      <w:szCs w:val="18"/>
      <w:lang w:val="en-US" w:eastAsia="zh-CN" w:bidi="ar-SA"/>
    </w:rPr>
  </w:style>
  <w:style w:type="character" w:customStyle="1" w:styleId="124">
    <w:name w:val="Char Char12"/>
    <w:qFormat/>
    <w:uiPriority w:val="0"/>
    <w:rPr>
      <w:i/>
      <w:kern w:val="2"/>
      <w:sz w:val="26"/>
    </w:rPr>
  </w:style>
  <w:style w:type="character" w:customStyle="1" w:styleId="125">
    <w:name w:val="批注主题 Char Char"/>
    <w:qFormat/>
    <w:uiPriority w:val="0"/>
  </w:style>
  <w:style w:type="character" w:customStyle="1" w:styleId="126">
    <w:name w:val="无间隔 Char"/>
    <w:link w:val="127"/>
    <w:qFormat/>
    <w:uiPriority w:val="1"/>
    <w:rPr>
      <w:sz w:val="22"/>
      <w:szCs w:val="22"/>
      <w:lang w:val="en-US" w:eastAsia="zh-CN" w:bidi="ar-SA"/>
    </w:rPr>
  </w:style>
  <w:style w:type="paragraph" w:styleId="127">
    <w:name w:val="No Spacing"/>
    <w:link w:val="126"/>
    <w:qFormat/>
    <w:uiPriority w:val="1"/>
    <w:rPr>
      <w:rFonts w:ascii="Times New Roman" w:hAnsi="Times New Roman" w:eastAsia="宋体" w:cs="Times New Roman"/>
      <w:sz w:val="22"/>
      <w:szCs w:val="22"/>
      <w:lang w:val="en-US" w:eastAsia="zh-CN" w:bidi="ar-SA"/>
    </w:rPr>
  </w:style>
  <w:style w:type="character" w:customStyle="1" w:styleId="128">
    <w:name w:val="first-child"/>
    <w:qFormat/>
    <w:uiPriority w:val="0"/>
  </w:style>
  <w:style w:type="character" w:customStyle="1" w:styleId="129">
    <w:name w:val="尾注文本 Char Char"/>
    <w:qFormat/>
    <w:uiPriority w:val="0"/>
    <w:rPr>
      <w:kern w:val="2"/>
      <w:sz w:val="21"/>
    </w:rPr>
  </w:style>
  <w:style w:type="character" w:customStyle="1" w:styleId="130">
    <w:name w:val="icon28"/>
    <w:qFormat/>
    <w:uiPriority w:val="0"/>
  </w:style>
  <w:style w:type="paragraph" w:customStyle="1" w:styleId="131">
    <w:name w:val="样式1"/>
    <w:basedOn w:val="2"/>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132">
    <w:name w:val="Char"/>
    <w:basedOn w:val="15"/>
    <w:qFormat/>
    <w:uiPriority w:val="0"/>
    <w:pPr>
      <w:spacing w:line="360" w:lineRule="auto"/>
      <w:ind w:firstLine="200" w:firstLineChars="200"/>
    </w:pPr>
    <w:rPr>
      <w:sz w:val="18"/>
    </w:rPr>
  </w:style>
  <w:style w:type="paragraph" w:customStyle="1" w:styleId="133">
    <w:name w:val="CM95"/>
    <w:basedOn w:val="1"/>
    <w:next w:val="1"/>
    <w:qFormat/>
    <w:uiPriority w:val="0"/>
    <w:pPr>
      <w:autoSpaceDE w:val="0"/>
      <w:autoSpaceDN w:val="0"/>
      <w:adjustRightInd w:val="0"/>
      <w:spacing w:after="115"/>
      <w:jc w:val="left"/>
    </w:pPr>
    <w:rPr>
      <w:rFonts w:ascii="宋体"/>
      <w:kern w:val="0"/>
      <w:sz w:val="24"/>
      <w:szCs w:val="24"/>
    </w:rPr>
  </w:style>
  <w:style w:type="paragraph" w:customStyle="1" w:styleId="134">
    <w:name w:val="Char Char16 Char Char Char Char"/>
    <w:basedOn w:val="1"/>
    <w:qFormat/>
    <w:uiPriority w:val="0"/>
    <w:rPr>
      <w:szCs w:val="24"/>
    </w:rPr>
  </w:style>
  <w:style w:type="paragraph" w:customStyle="1" w:styleId="135">
    <w:name w:val="（1节）正文标题"/>
    <w:basedOn w:val="1"/>
    <w:next w:val="4"/>
    <w:qFormat/>
    <w:uiPriority w:val="0"/>
    <w:pPr>
      <w:spacing w:beforeLines="30" w:afterLines="20" w:line="360" w:lineRule="auto"/>
      <w:jc w:val="left"/>
      <w:outlineLvl w:val="1"/>
    </w:pPr>
    <w:rPr>
      <w:rFonts w:ascii="Calibri" w:hAnsi="Calibri" w:cs="Arial"/>
      <w:b/>
      <w:sz w:val="24"/>
    </w:rPr>
  </w:style>
  <w:style w:type="paragraph" w:customStyle="1" w:styleId="136">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37">
    <w:name w:val="目录"/>
    <w:basedOn w:val="1"/>
    <w:qFormat/>
    <w:uiPriority w:val="0"/>
    <w:pPr>
      <w:widowControl/>
      <w:jc w:val="center"/>
    </w:pPr>
    <w:rPr>
      <w:rFonts w:ascii="宋体"/>
      <w:b/>
      <w:kern w:val="0"/>
      <w:sz w:val="36"/>
    </w:rPr>
  </w:style>
  <w:style w:type="paragraph" w:customStyle="1" w:styleId="138">
    <w:name w:val="Char2"/>
    <w:basedOn w:val="1"/>
    <w:qFormat/>
    <w:uiPriority w:val="0"/>
    <w:pPr>
      <w:spacing w:beforeLines="50"/>
      <w:ind w:firstLine="200" w:firstLineChars="200"/>
    </w:pPr>
    <w:rPr>
      <w:rFonts w:ascii="宋体" w:hAnsi="宋体" w:cs="Courier New"/>
      <w:spacing w:val="-2"/>
      <w:sz w:val="22"/>
      <w:szCs w:val="32"/>
    </w:rPr>
  </w:style>
  <w:style w:type="paragraph" w:customStyle="1" w:styleId="139">
    <w:name w:val="样式 标题 1 + (西文) 宋体 非加粗 黑色 两端对齐 左侧:  0 厘米 首行缩进:  0.89 厘米"/>
    <w:basedOn w:val="2"/>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40">
    <w:name w:val="Char Char1 Char Char Char Char Char Char Char"/>
    <w:basedOn w:val="1"/>
    <w:qFormat/>
    <w:uiPriority w:val="0"/>
    <w:pPr>
      <w:pageBreakBefore/>
    </w:pPr>
  </w:style>
  <w:style w:type="paragraph" w:customStyle="1" w:styleId="141">
    <w:name w:val="Char9"/>
    <w:basedOn w:val="15"/>
    <w:qFormat/>
    <w:uiPriority w:val="0"/>
    <w:pPr>
      <w:spacing w:line="360" w:lineRule="auto"/>
      <w:ind w:firstLine="200" w:firstLineChars="200"/>
    </w:pPr>
  </w:style>
  <w:style w:type="paragraph" w:customStyle="1" w:styleId="142">
    <w:name w:val="Char Char Char Char Char Char Char"/>
    <w:basedOn w:val="1"/>
    <w:qFormat/>
    <w:uiPriority w:val="0"/>
    <w:rPr>
      <w:szCs w:val="24"/>
    </w:rPr>
  </w:style>
  <w:style w:type="paragraph" w:customStyle="1" w:styleId="143">
    <w:name w:val="Char Char30 Char Char Char Char"/>
    <w:basedOn w:val="1"/>
    <w:qFormat/>
    <w:uiPriority w:val="0"/>
    <w:rPr>
      <w:szCs w:val="24"/>
    </w:rPr>
  </w:style>
  <w:style w:type="paragraph" w:customStyle="1" w:styleId="144">
    <w:name w:val="表内容"/>
    <w:basedOn w:val="1"/>
    <w:next w:val="1"/>
    <w:qFormat/>
    <w:uiPriority w:val="0"/>
    <w:pPr>
      <w:jc w:val="center"/>
    </w:pPr>
    <w:rPr>
      <w:szCs w:val="24"/>
    </w:rPr>
  </w:style>
  <w:style w:type="paragraph" w:customStyle="1" w:styleId="145">
    <w:name w:val="目录文字"/>
    <w:basedOn w:val="1"/>
    <w:qFormat/>
    <w:uiPriority w:val="0"/>
    <w:pPr>
      <w:widowControl/>
      <w:spacing w:line="480" w:lineRule="auto"/>
      <w:jc w:val="left"/>
    </w:pPr>
    <w:rPr>
      <w:rFonts w:ascii="宋体" w:hAnsi="宋体"/>
      <w:kern w:val="0"/>
      <w:sz w:val="24"/>
    </w:rPr>
  </w:style>
  <w:style w:type="paragraph" w:customStyle="1" w:styleId="146">
    <w:name w:val="样式3"/>
    <w:basedOn w:val="4"/>
    <w:qFormat/>
    <w:uiPriority w:val="0"/>
    <w:pPr>
      <w:keepNext/>
      <w:keepLines/>
      <w:spacing w:before="0" w:line="360" w:lineRule="auto"/>
      <w:ind w:left="119" w:right="-23"/>
    </w:pPr>
    <w:rPr>
      <w:rFonts w:ascii="宋体" w:hAnsi="宋体"/>
      <w:bCs/>
      <w:kern w:val="0"/>
      <w:szCs w:val="32"/>
    </w:rPr>
  </w:style>
  <w:style w:type="paragraph" w:customStyle="1" w:styleId="147">
    <w:name w:val="TOC 标题1"/>
    <w:basedOn w:val="2"/>
    <w:next w:val="1"/>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48">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149">
    <w:name w:val="pa-34"/>
    <w:qFormat/>
    <w:uiPriority w:val="0"/>
    <w:pPr>
      <w:spacing w:line="360" w:lineRule="atLeast"/>
      <w:ind w:firstLine="420"/>
    </w:pPr>
    <w:rPr>
      <w:rFonts w:ascii="宋体" w:hAnsi="宋体" w:eastAsia="宋体" w:cs="Times New Roman"/>
      <w:sz w:val="24"/>
      <w:lang w:val="en-US" w:eastAsia="zh-CN" w:bidi="ar-SA"/>
    </w:rPr>
  </w:style>
  <w:style w:type="paragraph" w:customStyle="1" w:styleId="150">
    <w:name w:val="Table Paragraph"/>
    <w:basedOn w:val="1"/>
    <w:qFormat/>
    <w:uiPriority w:val="1"/>
    <w:pPr>
      <w:autoSpaceDE w:val="0"/>
      <w:autoSpaceDN w:val="0"/>
      <w:jc w:val="left"/>
    </w:pPr>
    <w:rPr>
      <w:rFonts w:ascii="宋体" w:hAnsi="宋体" w:cs="宋体"/>
      <w:kern w:val="0"/>
      <w:sz w:val="22"/>
      <w:lang w:eastAsia="en-US"/>
    </w:rPr>
  </w:style>
  <w:style w:type="paragraph" w:customStyle="1" w:styleId="1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修订1"/>
    <w:qFormat/>
    <w:uiPriority w:val="0"/>
    <w:rPr>
      <w:rFonts w:ascii="Times New Roman" w:hAnsi="Times New Roman" w:eastAsia="宋体" w:cs="Times New Roman"/>
      <w:kern w:val="2"/>
      <w:sz w:val="21"/>
      <w:lang w:val="en-US" w:eastAsia="zh-CN" w:bidi="ar-SA"/>
    </w:rPr>
  </w:style>
  <w:style w:type="paragraph" w:customStyle="1" w:styleId="153">
    <w:name w:val="正文小标题"/>
    <w:basedOn w:val="1"/>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54">
    <w:name w:val="列出段落1"/>
    <w:basedOn w:val="1"/>
    <w:qFormat/>
    <w:uiPriority w:val="34"/>
    <w:pPr>
      <w:ind w:firstLine="420" w:firstLineChars="200"/>
    </w:pPr>
  </w:style>
  <w:style w:type="paragraph" w:customStyle="1" w:styleId="155">
    <w:name w:val="样式2"/>
    <w:basedOn w:val="3"/>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56">
    <w:name w:val="p0"/>
    <w:basedOn w:val="1"/>
    <w:qFormat/>
    <w:uiPriority w:val="0"/>
    <w:pPr>
      <w:widowControl/>
    </w:pPr>
    <w:rPr>
      <w:kern w:val="0"/>
      <w:szCs w:val="21"/>
    </w:rPr>
  </w:style>
  <w:style w:type="paragraph" w:customStyle="1" w:styleId="157">
    <w:name w:val="Char7"/>
    <w:basedOn w:val="1"/>
    <w:qFormat/>
    <w:uiPriority w:val="0"/>
    <w:pPr>
      <w:widowControl/>
      <w:spacing w:after="160" w:line="240" w:lineRule="exact"/>
      <w:jc w:val="left"/>
    </w:pPr>
  </w:style>
  <w:style w:type="paragraph" w:customStyle="1" w:styleId="158">
    <w:name w:val="Char Char Char Char"/>
    <w:basedOn w:val="15"/>
    <w:qFormat/>
    <w:uiPriority w:val="0"/>
    <w:pPr>
      <w:spacing w:line="360" w:lineRule="auto"/>
      <w:ind w:firstLine="200" w:firstLineChars="200"/>
    </w:pPr>
  </w:style>
  <w:style w:type="paragraph" w:customStyle="1" w:styleId="159">
    <w:name w:val="附件标题-1"/>
    <w:basedOn w:val="1"/>
    <w:qFormat/>
    <w:uiPriority w:val="0"/>
    <w:pPr>
      <w:spacing w:beforeLines="50"/>
      <w:jc w:val="center"/>
    </w:pPr>
    <w:rPr>
      <w:rFonts w:eastAsia="黑体"/>
      <w:sz w:val="32"/>
      <w:szCs w:val="24"/>
    </w:rPr>
  </w:style>
  <w:style w:type="paragraph" w:customStyle="1" w:styleId="160">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customStyle="1" w:styleId="161">
    <w:name w:val="BT3"/>
    <w:basedOn w:val="4"/>
    <w:qFormat/>
    <w:uiPriority w:val="0"/>
    <w:pPr>
      <w:keepNext/>
      <w:keepLines/>
      <w:autoSpaceDE/>
      <w:autoSpaceDN/>
      <w:snapToGrid w:val="0"/>
      <w:spacing w:before="260" w:after="260" w:line="360" w:lineRule="auto"/>
      <w:jc w:val="center"/>
    </w:pPr>
    <w:rPr>
      <w:rFonts w:hAnsi="宋体"/>
      <w:szCs w:val="24"/>
    </w:rPr>
  </w:style>
  <w:style w:type="paragraph" w:customStyle="1" w:styleId="162">
    <w:name w:val="Char1"/>
    <w:basedOn w:val="1"/>
    <w:qFormat/>
    <w:uiPriority w:val="0"/>
    <w:pPr>
      <w:spacing w:beforeLines="50" w:afterLines="50"/>
    </w:pPr>
    <w:rPr>
      <w:rFonts w:ascii="Tahoma" w:hAnsi="Tahoma"/>
      <w:sz w:val="24"/>
    </w:rPr>
  </w:style>
  <w:style w:type="paragraph" w:customStyle="1" w:styleId="163">
    <w:name w:val="bt1bt1"/>
    <w:basedOn w:val="2"/>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64">
    <w:name w:val="Char Char Char Char Char2 Char"/>
    <w:basedOn w:val="1"/>
    <w:qFormat/>
    <w:uiPriority w:val="0"/>
    <w:pPr>
      <w:adjustRightInd w:val="0"/>
      <w:snapToGrid w:val="0"/>
      <w:spacing w:line="360" w:lineRule="auto"/>
      <w:ind w:firstLine="200" w:firstLineChars="200"/>
    </w:pPr>
  </w:style>
  <w:style w:type="paragraph" w:customStyle="1" w:styleId="16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6">
    <w:name w:val="Char Char Char Char Char Char Char Char Char Char Char Char Char Char Char Char"/>
    <w:basedOn w:val="1"/>
    <w:qFormat/>
    <w:uiPriority w:val="0"/>
  </w:style>
  <w:style w:type="paragraph" w:customStyle="1" w:styleId="167">
    <w:name w:val="正  文"/>
    <w:basedOn w:val="1"/>
    <w:qFormat/>
    <w:uiPriority w:val="0"/>
    <w:pPr>
      <w:spacing w:line="360" w:lineRule="auto"/>
      <w:ind w:firstLine="200" w:firstLineChars="200"/>
    </w:pPr>
    <w:rPr>
      <w:rFonts w:ascii="宋体" w:hAnsi="Calibri"/>
      <w:sz w:val="24"/>
    </w:rPr>
  </w:style>
  <w:style w:type="table" w:customStyle="1" w:styleId="168">
    <w:name w:val="Table Normal"/>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9">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70">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1">
    <w:name w:val="列出段落11"/>
    <w:basedOn w:val="1"/>
    <w:qFormat/>
    <w:uiPriority w:val="0"/>
    <w:pPr>
      <w:ind w:firstLine="420" w:firstLineChars="200"/>
    </w:pPr>
    <w:rPr>
      <w:sz w:val="28"/>
      <w:szCs w:val="28"/>
    </w:rPr>
  </w:style>
  <w:style w:type="paragraph" w:customStyle="1" w:styleId="172">
    <w:name w:val="List Paragraph1"/>
    <w:basedOn w:val="1"/>
    <w:qFormat/>
    <w:uiPriority w:val="0"/>
    <w:pPr>
      <w:ind w:firstLine="420" w:firstLineChars="200"/>
    </w:pPr>
  </w:style>
  <w:style w:type="paragraph" w:customStyle="1" w:styleId="17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174">
    <w:name w:val="hover41"/>
    <w:basedOn w:val="52"/>
    <w:qFormat/>
    <w:uiPriority w:val="0"/>
    <w:rPr>
      <w:color w:val="2490F8"/>
    </w:rPr>
  </w:style>
  <w:style w:type="character" w:customStyle="1" w:styleId="175">
    <w:name w:val="icontext2"/>
    <w:basedOn w:val="52"/>
    <w:qFormat/>
    <w:uiPriority w:val="0"/>
  </w:style>
  <w:style w:type="character" w:customStyle="1" w:styleId="176">
    <w:name w:val="tmpztreemove_arrow"/>
    <w:basedOn w:val="52"/>
    <w:qFormat/>
    <w:uiPriority w:val="0"/>
  </w:style>
  <w:style w:type="character" w:customStyle="1" w:styleId="177">
    <w:name w:val="layui-layer-tabnow"/>
    <w:basedOn w:val="52"/>
    <w:qFormat/>
    <w:uiPriority w:val="0"/>
    <w:rPr>
      <w:bdr w:val="single" w:color="CCCCCC" w:sz="6" w:space="0"/>
      <w:shd w:val="clear" w:color="auto" w:fill="FFFFFF"/>
    </w:rPr>
  </w:style>
  <w:style w:type="character" w:customStyle="1" w:styleId="178">
    <w:name w:val="cdropright"/>
    <w:basedOn w:val="52"/>
    <w:qFormat/>
    <w:uiPriority w:val="0"/>
  </w:style>
  <w:style w:type="character" w:customStyle="1" w:styleId="179">
    <w:name w:val="w32"/>
    <w:basedOn w:val="52"/>
    <w:qFormat/>
    <w:uiPriority w:val="0"/>
  </w:style>
  <w:style w:type="character" w:customStyle="1" w:styleId="180">
    <w:name w:val="hilite"/>
    <w:basedOn w:val="52"/>
    <w:qFormat/>
    <w:uiPriority w:val="0"/>
    <w:rPr>
      <w:color w:val="FFFFFF"/>
      <w:shd w:val="clear" w:color="auto" w:fill="666666"/>
    </w:rPr>
  </w:style>
  <w:style w:type="character" w:customStyle="1" w:styleId="181">
    <w:name w:val="active1"/>
    <w:basedOn w:val="52"/>
    <w:qFormat/>
    <w:uiPriority w:val="0"/>
    <w:rPr>
      <w:color w:val="00FF00"/>
      <w:shd w:val="clear" w:color="auto" w:fill="111111"/>
    </w:rPr>
  </w:style>
  <w:style w:type="character" w:customStyle="1" w:styleId="182">
    <w:name w:val="active2"/>
    <w:basedOn w:val="52"/>
    <w:qFormat/>
    <w:uiPriority w:val="0"/>
    <w:rPr>
      <w:shd w:val="clear" w:color="auto" w:fill="EC3535"/>
    </w:rPr>
  </w:style>
  <w:style w:type="character" w:customStyle="1" w:styleId="183">
    <w:name w:val="drapbtn"/>
    <w:basedOn w:val="52"/>
    <w:qFormat/>
    <w:uiPriority w:val="0"/>
  </w:style>
  <w:style w:type="character" w:customStyle="1" w:styleId="184">
    <w:name w:val="icontext3"/>
    <w:basedOn w:val="52"/>
    <w:qFormat/>
    <w:uiPriority w:val="0"/>
  </w:style>
  <w:style w:type="character" w:customStyle="1" w:styleId="185">
    <w:name w:val="after"/>
    <w:basedOn w:val="52"/>
    <w:qFormat/>
    <w:uiPriority w:val="0"/>
    <w:rPr>
      <w:sz w:val="0"/>
      <w:szCs w:val="0"/>
    </w:rPr>
  </w:style>
  <w:style w:type="character" w:customStyle="1" w:styleId="186">
    <w:name w:val="cdropleft"/>
    <w:basedOn w:val="52"/>
    <w:qFormat/>
    <w:uiPriority w:val="0"/>
  </w:style>
  <w:style w:type="character" w:customStyle="1" w:styleId="187">
    <w:name w:val="cy"/>
    <w:basedOn w:val="52"/>
    <w:qFormat/>
    <w:uiPriority w:val="0"/>
  </w:style>
  <w:style w:type="character" w:customStyle="1" w:styleId="188">
    <w:name w:val="pagechatarealistclose_box"/>
    <w:basedOn w:val="52"/>
    <w:qFormat/>
    <w:uiPriority w:val="0"/>
  </w:style>
  <w:style w:type="character" w:customStyle="1" w:styleId="189">
    <w:name w:val="pagechatarealistclose_box1"/>
    <w:basedOn w:val="52"/>
    <w:qFormat/>
    <w:uiPriority w:val="0"/>
  </w:style>
  <w:style w:type="character" w:customStyle="1" w:styleId="190">
    <w:name w:val="associateddata"/>
    <w:basedOn w:val="52"/>
    <w:qFormat/>
    <w:uiPriority w:val="0"/>
    <w:rPr>
      <w:shd w:val="clear" w:color="auto" w:fill="50A6F9"/>
    </w:rPr>
  </w:style>
  <w:style w:type="character" w:customStyle="1" w:styleId="191">
    <w:name w:val="ico1654"/>
    <w:basedOn w:val="52"/>
    <w:qFormat/>
    <w:uiPriority w:val="0"/>
  </w:style>
  <w:style w:type="character" w:customStyle="1" w:styleId="192">
    <w:name w:val="ico1655"/>
    <w:basedOn w:val="52"/>
    <w:qFormat/>
    <w:uiPriority w:val="0"/>
  </w:style>
  <w:style w:type="character" w:customStyle="1" w:styleId="193">
    <w:name w:val="ico1656"/>
    <w:basedOn w:val="52"/>
    <w:qFormat/>
    <w:uiPriority w:val="0"/>
  </w:style>
  <w:style w:type="character" w:customStyle="1" w:styleId="194">
    <w:name w:val="icontext1"/>
    <w:basedOn w:val="52"/>
    <w:qFormat/>
    <w:uiPriority w:val="0"/>
  </w:style>
  <w:style w:type="character" w:customStyle="1" w:styleId="195">
    <w:name w:val="icontext11"/>
    <w:basedOn w:val="52"/>
    <w:qFormat/>
    <w:uiPriority w:val="0"/>
  </w:style>
  <w:style w:type="character" w:customStyle="1" w:styleId="196">
    <w:name w:val="icontext12"/>
    <w:basedOn w:val="52"/>
    <w:qFormat/>
    <w:uiPriority w:val="0"/>
  </w:style>
  <w:style w:type="character" w:customStyle="1" w:styleId="197">
    <w:name w:val="iconline2"/>
    <w:basedOn w:val="52"/>
    <w:qFormat/>
    <w:uiPriority w:val="0"/>
  </w:style>
  <w:style w:type="character" w:customStyle="1" w:styleId="198">
    <w:name w:val="iconline21"/>
    <w:basedOn w:val="52"/>
    <w:qFormat/>
    <w:uiPriority w:val="0"/>
  </w:style>
  <w:style w:type="character" w:customStyle="1" w:styleId="199">
    <w:name w:val="button4"/>
    <w:basedOn w:val="52"/>
    <w:qFormat/>
    <w:uiPriority w:val="0"/>
  </w:style>
  <w:style w:type="character" w:customStyle="1" w:styleId="200">
    <w:name w:val="copytolefthover"/>
    <w:basedOn w:val="52"/>
    <w:qFormat/>
    <w:uiPriority w:val="0"/>
    <w:rPr>
      <w:vanish/>
    </w:rPr>
  </w:style>
  <w:style w:type="character" w:customStyle="1" w:styleId="201">
    <w:name w:val="active3"/>
    <w:basedOn w:val="52"/>
    <w:qFormat/>
    <w:uiPriority w:val="0"/>
    <w:rPr>
      <w:shd w:val="clear" w:color="auto" w:fill="EC3535"/>
    </w:rPr>
  </w:style>
  <w:style w:type="character" w:customStyle="1" w:styleId="202">
    <w:name w:val="hilite6"/>
    <w:basedOn w:val="52"/>
    <w:qFormat/>
    <w:uiPriority w:val="0"/>
    <w:rPr>
      <w:color w:val="FFFFFF"/>
      <w:shd w:val="clear" w:color="auto" w:fill="666666"/>
    </w:rPr>
  </w:style>
  <w:style w:type="character" w:customStyle="1" w:styleId="203">
    <w:name w:val="hover40"/>
    <w:basedOn w:val="52"/>
    <w:qFormat/>
    <w:uiPriority w:val="0"/>
    <w:rPr>
      <w:color w:val="2490F8"/>
    </w:rPr>
  </w:style>
  <w:style w:type="character" w:customStyle="1" w:styleId="204">
    <w:name w:val="button"/>
    <w:basedOn w:val="52"/>
    <w:qFormat/>
    <w:uiPriority w:val="0"/>
  </w:style>
  <w:style w:type="character" w:customStyle="1" w:styleId="205">
    <w:name w:val="active5"/>
    <w:basedOn w:val="52"/>
    <w:qFormat/>
    <w:uiPriority w:val="0"/>
    <w:rPr>
      <w:color w:val="00FF00"/>
      <w:shd w:val="clear" w:color="auto" w:fill="111111"/>
    </w:rPr>
  </w:style>
  <w:style w:type="paragraph" w:customStyle="1" w:styleId="206">
    <w:name w:val="Body text|1"/>
    <w:basedOn w:val="1"/>
    <w:qFormat/>
    <w:uiPriority w:val="0"/>
    <w:pPr>
      <w:spacing w:after="40" w:line="467" w:lineRule="exact"/>
      <w:ind w:firstLine="20"/>
    </w:pPr>
    <w:rPr>
      <w:rFonts w:ascii="宋体" w:hAnsi="宋体" w:cs="宋体"/>
      <w:sz w:val="22"/>
      <w:szCs w:val="22"/>
      <w:lang w:val="zh-TW" w:eastAsia="zh-TW" w:bidi="zh-TW"/>
    </w:rPr>
  </w:style>
  <w:style w:type="paragraph" w:customStyle="1" w:styleId="207">
    <w:name w:val="Body text|2"/>
    <w:basedOn w:val="1"/>
    <w:qFormat/>
    <w:uiPriority w:val="0"/>
    <w:pPr>
      <w:spacing w:line="425" w:lineRule="auto"/>
      <w:ind w:firstLine="380"/>
    </w:pPr>
    <w:rPr>
      <w:rFonts w:ascii="宋体" w:hAnsi="宋体" w:cs="宋体"/>
      <w:sz w:val="18"/>
      <w:szCs w:val="18"/>
      <w:lang w:val="zh-TW" w:eastAsia="zh-TW" w:bidi="zh-TW"/>
    </w:rPr>
  </w:style>
  <w:style w:type="paragraph" w:customStyle="1" w:styleId="208">
    <w:name w:val="Heading #5|1"/>
    <w:basedOn w:val="1"/>
    <w:qFormat/>
    <w:uiPriority w:val="0"/>
    <w:pPr>
      <w:spacing w:after="100" w:line="293" w:lineRule="auto"/>
      <w:ind w:firstLine="70"/>
      <w:outlineLvl w:val="4"/>
    </w:pPr>
    <w:rPr>
      <w:rFonts w:ascii="宋体" w:hAnsi="宋体" w:cs="宋体"/>
      <w:sz w:val="22"/>
      <w:szCs w:val="22"/>
      <w:lang w:val="zh-TW" w:eastAsia="zh-TW" w:bidi="zh-TW"/>
    </w:rPr>
  </w:style>
  <w:style w:type="table" w:customStyle="1" w:styleId="209">
    <w:name w:val="网格型1"/>
    <w:basedOn w:val="50"/>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11">
    <w:name w:val="正文首行缩进 Char"/>
    <w:basedOn w:val="68"/>
    <w:link w:val="47"/>
    <w:semiHidden/>
    <w:qFormat/>
    <w:uiPriority w:val="99"/>
    <w:rPr>
      <w:kern w:val="2"/>
      <w:sz w:val="21"/>
    </w:rPr>
  </w:style>
  <w:style w:type="paragraph" w:customStyle="1" w:styleId="212">
    <w:name w:val="列出段落2"/>
    <w:basedOn w:val="1"/>
    <w:qFormat/>
    <w:uiPriority w:val="99"/>
    <w:pPr>
      <w:ind w:firstLine="420" w:firstLineChars="200"/>
    </w:pPr>
    <w:rPr>
      <w:sz w:val="28"/>
    </w:rPr>
  </w:style>
  <w:style w:type="paragraph" w:customStyle="1" w:styleId="21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214">
    <w:name w:val="font0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49B6D-2E6D-47CF-B39E-133DB9B1FB5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68</Pages>
  <Words>3405</Words>
  <Characters>3622</Characters>
  <Lines>326</Lines>
  <Paragraphs>91</Paragraphs>
  <TotalTime>28</TotalTime>
  <ScaleCrop>false</ScaleCrop>
  <LinksUpToDate>false</LinksUpToDate>
  <CharactersWithSpaces>3660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2025-09-04T13:06:00Z</dcterms:created>
  <dc:creator>User</dc:creator>
  <cp:lastModifiedBy>大雨纷飞</cp:lastModifiedBy>
  <cp:lastPrinted>2025-05-16T07:30:00Z</cp:lastPrinted>
  <dcterms:modified xsi:type="dcterms:W3CDTF">2025-09-08T02:09:12Z</dcterms:modified>
  <dc:title>项目名称：重庆市第二女子劳教戒毒所教育用房项目主体工程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9BE0C0C2315548D28F6A7BE2DDA6DFA2_13</vt:lpwstr>
  </property>
  <property fmtid="{D5CDD505-2E9C-101B-9397-08002B2CF9AE}" pid="4" name="KSOTemplateDocerSaveRecord">
    <vt:lpwstr>eyJoZGlkIjoiMDkwMmQ2YzFkYjE4ODk1NjJjNDc5MzkyYjFmYjllYzEiLCJ1c2VySWQiOiIzNTM5MDQ3MTkifQ==</vt:lpwstr>
  </property>
</Properties>
</file>