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8F2B96" w14:textId="77777777" w:rsidR="00EB1EF3" w:rsidRDefault="00000000">
      <w:pPr>
        <w:ind w:firstLineChars="0" w:firstLine="0"/>
        <w:jc w:val="left"/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·证券代码：</w:t>
      </w:r>
      <w:r>
        <w:rPr>
          <w:rFonts w:asciiTheme="majorEastAsia" w:eastAsiaTheme="majorEastAsia" w:hAnsiTheme="majorEastAsia"/>
          <w:bCs/>
          <w:iCs/>
          <w:color w:val="000000"/>
          <w:sz w:val="28"/>
          <w:szCs w:val="28"/>
        </w:rPr>
        <w:t xml:space="preserve">000514                       </w:t>
      </w:r>
      <w:r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证券简称：</w:t>
      </w:r>
      <w:proofErr w:type="gramStart"/>
      <w:r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渝</w:t>
      </w:r>
      <w:proofErr w:type="gramEnd"/>
      <w:r>
        <w:rPr>
          <w:rFonts w:asciiTheme="majorEastAsia" w:eastAsiaTheme="majorEastAsia" w:hAnsiTheme="majorEastAsia" w:hint="eastAsia"/>
          <w:bCs/>
          <w:iCs/>
          <w:color w:val="000000"/>
          <w:sz w:val="28"/>
          <w:szCs w:val="28"/>
        </w:rPr>
        <w:t>开发</w:t>
      </w:r>
    </w:p>
    <w:p w14:paraId="2C87EA31" w14:textId="77777777" w:rsidR="00EB1EF3" w:rsidRDefault="00EB1EF3">
      <w:pPr>
        <w:ind w:firstLineChars="0" w:firstLine="0"/>
        <w:jc w:val="center"/>
        <w:rPr>
          <w:rFonts w:ascii="方正小标宋简体" w:eastAsia="方正小标宋简体"/>
          <w:bCs/>
          <w:iCs/>
          <w:color w:val="000000"/>
          <w:sz w:val="44"/>
          <w:szCs w:val="44"/>
        </w:rPr>
      </w:pPr>
    </w:p>
    <w:p w14:paraId="75302553" w14:textId="77777777" w:rsidR="00EB1EF3" w:rsidRDefault="00000000">
      <w:pPr>
        <w:ind w:firstLineChars="0" w:firstLine="0"/>
        <w:jc w:val="center"/>
        <w:rPr>
          <w:rFonts w:ascii="黑体" w:eastAsia="黑体" w:hAnsi="黑体"/>
          <w:bCs/>
          <w:iCs/>
          <w:color w:val="000000"/>
          <w:sz w:val="36"/>
          <w:szCs w:val="36"/>
        </w:rPr>
      </w:pPr>
      <w:r>
        <w:rPr>
          <w:rFonts w:ascii="黑体" w:eastAsia="黑体" w:hAnsi="黑体" w:hint="eastAsia"/>
          <w:bCs/>
          <w:iCs/>
          <w:color w:val="000000"/>
          <w:sz w:val="36"/>
          <w:szCs w:val="36"/>
        </w:rPr>
        <w:t>重庆渝开发股份有限公司投资者关系活动</w:t>
      </w:r>
      <w:r>
        <w:rPr>
          <w:rFonts w:ascii="黑体" w:eastAsia="黑体" w:hAnsi="黑体"/>
          <w:bCs/>
          <w:iCs/>
          <w:color w:val="000000"/>
          <w:sz w:val="36"/>
          <w:szCs w:val="36"/>
        </w:rPr>
        <w:br/>
      </w:r>
      <w:r>
        <w:rPr>
          <w:rFonts w:ascii="黑体" w:eastAsia="黑体" w:hAnsi="黑体" w:hint="eastAsia"/>
          <w:bCs/>
          <w:iCs/>
          <w:color w:val="000000"/>
          <w:sz w:val="36"/>
          <w:szCs w:val="36"/>
        </w:rPr>
        <w:t>记录表</w:t>
      </w:r>
    </w:p>
    <w:p w14:paraId="5314E4F3" w14:textId="77777777" w:rsidR="00EB1EF3" w:rsidRDefault="00000000">
      <w:pPr>
        <w:spacing w:line="360" w:lineRule="auto"/>
        <w:ind w:firstLineChars="0" w:firstLine="0"/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                                     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 xml:space="preserve">        编号：202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4</w:t>
      </w:r>
      <w:r>
        <w:rPr>
          <w:rFonts w:asciiTheme="minorEastAsia" w:eastAsiaTheme="minorEastAsia" w:hAnsiTheme="minorEastAsia"/>
          <w:bCs/>
          <w:iCs/>
          <w:color w:val="000000"/>
          <w:sz w:val="28"/>
          <w:szCs w:val="28"/>
        </w:rPr>
        <w:t>-00</w:t>
      </w:r>
      <w:r>
        <w:rPr>
          <w:rFonts w:asciiTheme="minorEastAsia" w:eastAsiaTheme="minorEastAsia" w:hAnsiTheme="minorEastAsia" w:hint="eastAsia"/>
          <w:bCs/>
          <w:iCs/>
          <w:color w:val="000000"/>
          <w:sz w:val="28"/>
          <w:szCs w:val="28"/>
        </w:rPr>
        <w:t>2</w:t>
      </w:r>
    </w:p>
    <w:tbl>
      <w:tblPr>
        <w:tblW w:w="50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4"/>
        <w:gridCol w:w="6045"/>
      </w:tblGrid>
      <w:tr w:rsidR="00EB1EF3" w14:paraId="74B853A2" w14:textId="77777777">
        <w:trPr>
          <w:trHeight w:val="1661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2B99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12B566F3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B2E00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√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特定对象调研        □分析师会议</w:t>
            </w:r>
          </w:p>
          <w:p w14:paraId="7D6098E7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□媒体采访            □业绩说明会</w:t>
            </w:r>
          </w:p>
          <w:p w14:paraId="7DD6CD20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□新闻发布会          □路演活动</w:t>
            </w:r>
          </w:p>
          <w:p w14:paraId="34884487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ab/>
              <w:t xml:space="preserve">         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14:paraId="6AB9CB47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□其他</w:t>
            </w:r>
          </w:p>
        </w:tc>
      </w:tr>
      <w:tr w:rsidR="00EB1EF3" w14:paraId="6DC4EAE0" w14:textId="77777777">
        <w:trPr>
          <w:trHeight w:val="848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D5CD2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  <w:p w14:paraId="248EBE94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及人员姓名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208E3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平安基金：陶然          鹏华基金：朱睿婷 </w:t>
            </w:r>
          </w:p>
          <w:p w14:paraId="018BAD22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国投瑞银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基金：李洋      前海开源基金：江涌</w:t>
            </w:r>
          </w:p>
          <w:p w14:paraId="7BC1DADA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高毅资管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：刘悦          东莞证券资管：全茜茜    </w:t>
            </w:r>
          </w:p>
          <w:p w14:paraId="1E44439A" w14:textId="77777777" w:rsidR="00706F89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贝莱德基金：丁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浩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航      长江资管：覃彬雍        </w:t>
            </w:r>
          </w:p>
          <w:p w14:paraId="6A482BCB" w14:textId="7B8DB4B3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国海证券：谭升</w:t>
            </w:r>
          </w:p>
        </w:tc>
      </w:tr>
      <w:tr w:rsidR="00EB1EF3" w14:paraId="524CF34E" w14:textId="77777777">
        <w:trPr>
          <w:trHeight w:val="548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3954D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  间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839E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2024年6月5日15:</w:t>
            </w:r>
            <w:r>
              <w:rPr>
                <w:rFonts w:asciiTheme="minorEastAsia" w:eastAsiaTheme="minorEastAsia" w:hAnsiTheme="minorEastAsia" w:cs="USHEHF+ËÎÌå"/>
                <w:color w:val="000000"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cs="USHEHF+ËÎÌå" w:hint="eastAsia"/>
                <w:color w:val="000000"/>
                <w:sz w:val="24"/>
                <w:szCs w:val="24"/>
              </w:rPr>
              <w:t>0-16:30</w:t>
            </w:r>
          </w:p>
        </w:tc>
      </w:tr>
      <w:tr w:rsidR="00EB1EF3" w14:paraId="17C5F69C" w14:textId="77777777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EC5EF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  点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C506B" w14:textId="77777777" w:rsidR="00EB1EF3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 w:cs="USHEHF+ËÎÌå" w:hint="eastAsia"/>
                <w:color w:val="000000"/>
                <w:sz w:val="24"/>
              </w:rPr>
              <w:t>渝</w:t>
            </w:r>
            <w:proofErr w:type="gramEnd"/>
            <w:r>
              <w:rPr>
                <w:rFonts w:asciiTheme="minorEastAsia" w:eastAsiaTheme="minorEastAsia" w:hAnsiTheme="minorEastAsia" w:cs="USHEHF+ËÎÌå" w:hint="eastAsia"/>
                <w:color w:val="000000"/>
                <w:sz w:val="24"/>
              </w:rPr>
              <w:t>开发公司会议室</w:t>
            </w:r>
          </w:p>
        </w:tc>
      </w:tr>
      <w:tr w:rsidR="00EB1EF3" w14:paraId="322B73B3" w14:textId="77777777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27B11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公司接待人员姓名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FE17" w14:textId="77777777" w:rsidR="00EB1EF3" w:rsidRDefault="00000000">
            <w:pPr>
              <w:wordWrap w:val="0"/>
              <w:autoSpaceDE w:val="0"/>
              <w:autoSpaceDN w:val="0"/>
              <w:adjustRightInd w:val="0"/>
              <w:snapToGrid w:val="0"/>
              <w:spacing w:line="276" w:lineRule="auto"/>
              <w:ind w:firstLineChars="0" w:firstLine="0"/>
              <w:rPr>
                <w:rFonts w:asciiTheme="minorEastAsia" w:eastAsiaTheme="minorEastAsia" w:hAnsiTheme="minorEastAsia" w:cs="USHEHF+ËÎÌå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董事会秘书谢勇彬、证券事务代表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谌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畅</w:t>
            </w:r>
          </w:p>
        </w:tc>
      </w:tr>
      <w:tr w:rsidR="00EB1EF3" w14:paraId="68A52F14" w14:textId="77777777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26E79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投资者关系活动</w:t>
            </w:r>
          </w:p>
          <w:p w14:paraId="2054E6A2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主要内容介绍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FE803" w14:textId="2CEE568E" w:rsidR="00706F89" w:rsidRPr="0088540E" w:rsidRDefault="00706F89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1</w:t>
            </w:r>
            <w:r w:rsidR="00FD1A60"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、</w:t>
            </w:r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公司发展历程简介</w:t>
            </w:r>
          </w:p>
          <w:p w14:paraId="7372AD5A" w14:textId="07E7DD91" w:rsidR="00706F89" w:rsidRDefault="00706F89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公司于1978年成立，1984年转型，1992年改为股份制，1993年在深交所上市，是重庆最早的国有上市公司。公司是以解决重庆人民的居住为己任的企业。</w:t>
            </w:r>
          </w:p>
          <w:p w14:paraId="384D286F" w14:textId="1315A560" w:rsidR="00706F89" w:rsidRDefault="00706F89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房产销售的营收占比80%以上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，是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以房地产开发为主营业务线，会展、物业等城市经营为支撑业务线，租赁、产业投资等为培育业务线，形成主营业务为房地产开发，支撑业务为会展经营、物业管理、资产经营，培育业务为城市更新、租赁住房、非房产业投资的</w:t>
            </w:r>
            <w:r w:rsidRPr="00706F89"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1+3+3业务体系。</w:t>
            </w:r>
            <w:r w:rsidR="00400FF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物业业务属于</w:t>
            </w:r>
            <w:r w:rsidR="00400FF1"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房地产开发</w:t>
            </w:r>
            <w:r w:rsidR="00400FF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="00400FF1"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匹配</w:t>
            </w:r>
            <w:r w:rsidR="00400FF1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支撑业务，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公司全资子公司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物业公司</w:t>
            </w:r>
            <w:r w:rsidR="006803D4"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毛利率比较低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；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会展经营方面，2020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年以前会展收入在</w:t>
            </w:r>
            <w:r w:rsidR="0031466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8</w:t>
            </w:r>
            <w:proofErr w:type="gramStart"/>
            <w:r w:rsidR="0031466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千万</w:t>
            </w:r>
            <w:proofErr w:type="gramEnd"/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左右，随后有所下滑，目前有所恢复，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但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暂未恢复到2020年前的收入水平。资产经营方面，石黄隧道的经营收费权</w:t>
            </w:r>
            <w:r w:rsidR="0031466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公司三大支撑业务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的资产经营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属于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比较稳定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在保证稳健经营的前提下，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公司也通过自身资源和优势去培养新的利润增长点。公司立足于长期经营，需要稳健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</w:t>
            </w:r>
            <w:r w:rsidRPr="00706F8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现有业务和积极寻找新质生产力的新业务。</w:t>
            </w:r>
          </w:p>
          <w:p w14:paraId="0D077939" w14:textId="4D79EE9A" w:rsidR="00876300" w:rsidRPr="00706F89" w:rsidRDefault="00876300" w:rsidP="0088540E">
            <w:pPr>
              <w:ind w:firstLine="480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目前公司开发在售有4个项目，分别为公司控股的、与上海复地公司合作的位于南山的朗福山与城项目、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位于回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兴的星河One项目，以及我们本部全资开发的位于九龙坡华岩的贯金和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府项目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及茶园的南越天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宸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项目。这些项目均位于重庆主城中心区域，产品为面积在90平方米以上的改善型住宅型项目。</w:t>
            </w:r>
          </w:p>
          <w:p w14:paraId="4C862F71" w14:textId="43058863" w:rsidR="00706F89" w:rsidRDefault="00876300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公司的资产负债率较低，</w:t>
            </w:r>
            <w:r w:rsidR="006A075C" w:rsidRP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融资渠道畅通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，融资成本也相对较低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，有一定的优势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，财务</w:t>
            </w:r>
            <w:r w:rsid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方面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一直</w:t>
            </w:r>
            <w:r w:rsid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比较稳健</w:t>
            </w:r>
            <w:r w:rsid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184726D3" w14:textId="032DF63B" w:rsidR="006803D4" w:rsidRDefault="006803D4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重庆是具有较大发展机遇的城市，4月份习总书记在重庆</w:t>
            </w:r>
            <w:r w:rsid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考察时强调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重庆要对标新时代新</w:t>
            </w:r>
            <w:proofErr w:type="gramStart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征程党</w:t>
            </w:r>
            <w:proofErr w:type="gramEnd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中心任务和党中央赋予的使命，充分发挥比较优势、后发优势，进一步全面深化改革开放，主动服务和融入新发展格局，着力推动高质量发展，奋力打造新时代西部大开发重要战略支点、内陆开放综合枢纽，在发挥“三个作用”上展现更大作为，不断谱写中国式现代化重庆篇章。重庆制造业基础较好，科教人才资源丰富，要着力构建以先进制造业为骨干的现代化产业体系。深入实施制造业重大技术</w:t>
            </w:r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改造升级和大规模设备更新工程，加快传统产业转型升级，积极培育具有国际先进水平和竞争力的战略性新兴产业。加强重大科技攻关，强化科技创新和产业创新深度融合，积极培育新</w:t>
            </w:r>
            <w:proofErr w:type="gramStart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业态新模式</w:t>
            </w:r>
            <w:proofErr w:type="gramEnd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新动能，因地制宜发展新质生产力。积极推进成渝地区双城经济圈建设，更好发挥全国高质量发展的重要增长</w:t>
            </w:r>
            <w:proofErr w:type="gramStart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极</w:t>
            </w:r>
            <w:proofErr w:type="gramEnd"/>
            <w:r w:rsidR="002D5F93" w:rsidRP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和新的动力源作用。大力推动绿色发展，建设美丽重庆，筑牢长江上游重要生态屏障。</w:t>
            </w:r>
            <w:r w:rsid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习总书记的讲话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给重庆带来了巨大的发展机遇。公司</w:t>
            </w:r>
            <w:r w:rsidR="002D5F9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熟悉重庆市场，</w:t>
            </w:r>
            <w:r w:rsidR="00D075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将继续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积极寻找机会</w:t>
            </w:r>
            <w:r w:rsid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</w:t>
            </w:r>
            <w:r w:rsid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深耕重庆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</w:t>
            </w:r>
          </w:p>
          <w:p w14:paraId="7F2D57F0" w14:textId="77777777" w:rsidR="006803D4" w:rsidRPr="002D5F93" w:rsidRDefault="006803D4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7420A40C" w14:textId="1D486FF8" w:rsidR="00EB1EF3" w:rsidRPr="0088540E" w:rsidRDefault="00706F89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2</w:t>
            </w:r>
            <w:r w:rsidR="00FD1A60"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、</w:t>
            </w:r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重庆以往供给都比较大，近些年政府开始</w:t>
            </w:r>
            <w:proofErr w:type="gramStart"/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控制土储供应</w:t>
            </w:r>
            <w:proofErr w:type="gramEnd"/>
            <w:r w:rsidRPr="0088540E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 xml:space="preserve">，房地产政策逐步放宽，请介绍下重庆以来今年房地产市场情况？ </w:t>
            </w:r>
          </w:p>
          <w:p w14:paraId="4476A65F" w14:textId="2EE868E1" w:rsidR="00EB1EF3" w:rsidRDefault="006803D4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bookmarkStart w:id="0" w:name="_Hlk168418945"/>
            <w:r w:rsidRP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前几年，国家加大房地产调控力度，加上各种形式的影响，重庆的房产市场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在2012年以后都</w:t>
            </w:r>
            <w:r w:rsidRPr="006803D4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有所下滑。2023年供需形势发生了变化，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2024年5月，政府针对房地产市场推出了多项优化政策，旨在提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振市场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信心、促进需求释放和稳定房价。这些政策包括取消全国层面的房贷利率下限、下调首付款比例、公积金贷款利率调整等，本轮地产优化政策的出台有助于房地产行业整体的回暖，对于拉动地方经济及整个房地产行业也起到比较积极的作用。5月20日重庆跟进落实了相关金融政策，新政落地后，市场有一定积极反应，购房需求及活跃度提高，各项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目客户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来访、成交数据都有所增加。</w:t>
            </w:r>
          </w:p>
          <w:p w14:paraId="5C1B43BF" w14:textId="7301C8F9" w:rsidR="006A075C" w:rsidRPr="00F154E2" w:rsidRDefault="006A075C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lastRenderedPageBreak/>
              <w:t>3、重庆政府对房地产的定位是怎样的？一线城市也在出台相关政策，重庆的政策也出了这么多，但目前市场看并没激起大的波澜，后期会有变化吗？</w:t>
            </w:r>
          </w:p>
          <w:p w14:paraId="6045E147" w14:textId="65B33643" w:rsidR="006A075C" w:rsidRDefault="006A075C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 w:rsidRP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房地产是</w:t>
            </w:r>
            <w:proofErr w:type="gramStart"/>
            <w:r w:rsidRP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个空间</w:t>
            </w:r>
            <w:proofErr w:type="gramEnd"/>
            <w:r w:rsidRP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资源，在同等经济水平方面，重庆的房价收入比一直是最低的。</w:t>
            </w:r>
            <w:r w:rsidRP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按照中央房改精神，</w:t>
            </w:r>
            <w:r w:rsidR="00B24AD3" w:rsidRP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重庆</w:t>
            </w:r>
            <w:r w:rsidR="00B24AD3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保持</w:t>
            </w:r>
            <w:r w:rsidR="00CC1300" w:rsidRP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低端有保障、中端有</w:t>
            </w:r>
            <w:r w:rsid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支持</w:t>
            </w:r>
            <w:r w:rsidR="00CC1300" w:rsidRP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、高端有市场</w:t>
            </w:r>
            <w:r w:rsidR="00CC1300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的良性发展格局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。近期，无论是中央政府还是地方政府，确实出台了多项利好政策，公司也在持续关注市场反应。目前看来，</w:t>
            </w:r>
            <w:proofErr w:type="gramStart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二线城市反应强烈一些，市场消化新政有一个逐渐的过程，</w:t>
            </w:r>
            <w:r w:rsidR="0007719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虽然重庆</w:t>
            </w:r>
            <w:r w:rsidR="005643D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市场的成交数据增长幅度</w:t>
            </w:r>
            <w:r w:rsidR="0007719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不大，但我们也能感觉</w:t>
            </w:r>
            <w:r w:rsidR="005643D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到</w:t>
            </w:r>
            <w:r w:rsidR="0007719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重庆市场有一定的提升。</w:t>
            </w:r>
          </w:p>
          <w:p w14:paraId="7DCB7849" w14:textId="77777777" w:rsidR="006A075C" w:rsidRPr="006A075C" w:rsidRDefault="006A075C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30FF8273" w14:textId="03EDFD4E" w:rsidR="00EB1EF3" w:rsidRPr="00F154E2" w:rsidRDefault="006A075C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4、看到首笔重庆租赁住房贷款支持计划试点落地，由重庆嘉寓房屋租赁公司、重庆</w:t>
            </w:r>
            <w:proofErr w:type="gramStart"/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建渝住房</w:t>
            </w:r>
            <w:proofErr w:type="gramEnd"/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 xml:space="preserve">租赁基金收购 4207 套房源，公司是否有项目参与其中？ </w:t>
            </w:r>
          </w:p>
          <w:p w14:paraId="553C4D98" w14:textId="09EBC72A" w:rsidR="00EB1EF3" w:rsidRDefault="00000000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目前暂无项目参与其中。</w:t>
            </w:r>
          </w:p>
          <w:p w14:paraId="05799591" w14:textId="77777777" w:rsidR="00EB1EF3" w:rsidRDefault="00EB1EF3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246B8AE2" w14:textId="19067429" w:rsidR="00EB1EF3" w:rsidRPr="00F154E2" w:rsidRDefault="006A075C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 xml:space="preserve">5、目前对于公司存量资产盘活方面有何详细规划，“517”地产新政提出提供5000 亿元中央收储资金，这块公司是否会参与，目前有无具体项目在对接？ </w:t>
            </w:r>
          </w:p>
          <w:p w14:paraId="27DDA886" w14:textId="77777777" w:rsidR="00EB1EF3" w:rsidRDefault="00000000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目前</w:t>
            </w:r>
            <w:r w:rsid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暂</w:t>
            </w:r>
            <w:r w:rsidR="006A075C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未</w:t>
            </w:r>
            <w:r w:rsidR="00314669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有项目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对接。</w:t>
            </w:r>
            <w:bookmarkEnd w:id="0"/>
          </w:p>
          <w:p w14:paraId="1F93CAFF" w14:textId="77777777" w:rsidR="00CE5334" w:rsidRDefault="00CE5334" w:rsidP="0088540E">
            <w:pPr>
              <w:ind w:firstLine="48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</w:p>
          <w:p w14:paraId="4F3942D8" w14:textId="719EF5DB" w:rsidR="00CE5334" w:rsidRPr="00F154E2" w:rsidRDefault="00CE5334" w:rsidP="0088540E">
            <w:pPr>
              <w:ind w:firstLine="482"/>
              <w:rPr>
                <w:rFonts w:asciiTheme="minorEastAsia" w:eastAsiaTheme="minorEastAsia" w:hAnsiTheme="minorEastAsia"/>
                <w:b/>
                <w:iCs/>
                <w:color w:val="000000"/>
                <w:sz w:val="24"/>
                <w:szCs w:val="24"/>
              </w:rPr>
            </w:pP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6、</w:t>
            </w: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近期</w:t>
            </w: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公司</w:t>
            </w:r>
            <w:r w:rsidRPr="00F154E2">
              <w:rPr>
                <w:rFonts w:asciiTheme="minorEastAsia" w:eastAsiaTheme="minorEastAsia" w:hAnsiTheme="minorEastAsia" w:hint="eastAsia"/>
                <w:b/>
                <w:iCs/>
                <w:color w:val="000000"/>
                <w:sz w:val="24"/>
                <w:szCs w:val="24"/>
              </w:rPr>
              <w:t>计提减值较大，后期还有减值计划吗？</w:t>
            </w:r>
          </w:p>
          <w:p w14:paraId="46F96504" w14:textId="3BBDF5B8" w:rsidR="00CE5334" w:rsidRPr="0088540E" w:rsidRDefault="00CE5334" w:rsidP="0088540E">
            <w:pPr>
              <w:ind w:firstLine="480"/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</w:pP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根据市场情况，我们在2023年末对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存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货进行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了2.2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亿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元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的减值，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其中主要是车库减值。2024年第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一季度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，根据市场情况，我们对存货再进行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了5</w:t>
            </w:r>
            <w:proofErr w:type="gramStart"/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千万</w:t>
            </w:r>
            <w:proofErr w:type="gramEnd"/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元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左右的减值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，也主要是车库减值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。</w:t>
            </w:r>
            <w:r w:rsidRPr="0088540E"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后期是否进行存货资产减值，需要视市场情况而定。</w:t>
            </w:r>
          </w:p>
        </w:tc>
      </w:tr>
      <w:tr w:rsidR="00EB1EF3" w14:paraId="2E7FA644" w14:textId="77777777"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C104C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FB03" w14:textId="77777777" w:rsidR="00EB1EF3" w:rsidRDefault="00000000">
            <w:pPr>
              <w:pStyle w:val="dmsonormal"/>
              <w:wordWrap w:val="0"/>
              <w:spacing w:beforeLines="50" w:before="156" w:beforeAutospacing="0" w:afterLines="30" w:after="93" w:afterAutospacing="0"/>
              <w:jc w:val="both"/>
              <w:rPr>
                <w:rFonts w:asciiTheme="minorEastAsia" w:eastAsiaTheme="minorEastAsia" w:hAnsiTheme="minorEastAsia"/>
                <w:kern w:val="2"/>
              </w:rPr>
            </w:pPr>
            <w:r>
              <w:rPr>
                <w:rFonts w:asciiTheme="minorEastAsia" w:eastAsiaTheme="minorEastAsia" w:hAnsiTheme="minorEastAsia" w:hint="eastAsia"/>
                <w:kern w:val="2"/>
              </w:rPr>
              <w:t>无</w:t>
            </w:r>
          </w:p>
        </w:tc>
      </w:tr>
      <w:tr w:rsidR="00EB1EF3" w14:paraId="6C1399F6" w14:textId="77777777">
        <w:trPr>
          <w:trHeight w:val="483"/>
        </w:trPr>
        <w:tc>
          <w:tcPr>
            <w:tcW w:w="1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A4210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 xml:space="preserve">日 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3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44F6" w14:textId="77777777" w:rsidR="00EB1EF3" w:rsidRDefault="00000000">
            <w:pPr>
              <w:spacing w:line="240" w:lineRule="auto"/>
              <w:ind w:firstLineChars="0" w:firstLine="0"/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2</w:t>
            </w:r>
            <w:r>
              <w:rPr>
                <w:rFonts w:asciiTheme="minorEastAsia" w:eastAsiaTheme="minorEastAsia" w:hAnsiTheme="minorEastAsia"/>
                <w:bCs/>
                <w:iCs/>
                <w:color w:val="000000"/>
                <w:sz w:val="24"/>
                <w:szCs w:val="24"/>
              </w:rPr>
              <w:t>02</w:t>
            </w:r>
            <w:r>
              <w:rPr>
                <w:rFonts w:asciiTheme="minorEastAsia" w:eastAsiaTheme="minorEastAsia" w:hAnsiTheme="minorEastAsia" w:hint="eastAsia"/>
                <w:bCs/>
                <w:iCs/>
                <w:color w:val="000000"/>
                <w:sz w:val="24"/>
                <w:szCs w:val="24"/>
              </w:rPr>
              <w:t>4年6月5日</w:t>
            </w:r>
          </w:p>
        </w:tc>
      </w:tr>
    </w:tbl>
    <w:p w14:paraId="4706514D" w14:textId="77777777" w:rsidR="00EB1EF3" w:rsidRDefault="00EB1EF3">
      <w:pPr>
        <w:ind w:firstLineChars="0" w:firstLine="0"/>
      </w:pPr>
    </w:p>
    <w:sectPr w:rsidR="00EB1E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6785" w14:textId="77777777" w:rsidR="006E2DC8" w:rsidRDefault="006E2DC8">
      <w:pPr>
        <w:spacing w:line="240" w:lineRule="auto"/>
        <w:ind w:firstLine="640"/>
      </w:pPr>
      <w:r>
        <w:separator/>
      </w:r>
    </w:p>
  </w:endnote>
  <w:endnote w:type="continuationSeparator" w:id="0">
    <w:p w14:paraId="21FDD396" w14:textId="77777777" w:rsidR="006E2DC8" w:rsidRDefault="006E2DC8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USHEHF+ËÎÌå">
    <w:altName w:val="Microsoft Sans Serif"/>
    <w:charset w:val="00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23B60" w14:textId="77777777" w:rsidR="00EB1EF3" w:rsidRDefault="00EB1EF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95F7A6" w14:textId="77777777" w:rsidR="00EB1EF3" w:rsidRDefault="00EB1EF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B1C4B" w14:textId="77777777" w:rsidR="00EB1EF3" w:rsidRDefault="00EB1EF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C21028" w14:textId="77777777" w:rsidR="006E2DC8" w:rsidRDefault="006E2DC8">
      <w:pPr>
        <w:spacing w:line="240" w:lineRule="auto"/>
        <w:ind w:firstLine="640"/>
      </w:pPr>
      <w:r>
        <w:separator/>
      </w:r>
    </w:p>
  </w:footnote>
  <w:footnote w:type="continuationSeparator" w:id="0">
    <w:p w14:paraId="60357895" w14:textId="77777777" w:rsidR="006E2DC8" w:rsidRDefault="006E2DC8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7E068" w14:textId="77777777" w:rsidR="00EB1EF3" w:rsidRDefault="00EB1EF3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7E4CB" w14:textId="77777777" w:rsidR="00EB1EF3" w:rsidRDefault="00EB1EF3">
    <w:pPr>
      <w:ind w:firstLine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8B68F9" w14:textId="77777777" w:rsidR="00EB1EF3" w:rsidRDefault="00EB1EF3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4Y2ExYjFhN2I4YmMwYzEwMjgxNzFjM2FmZGJmZjMifQ=="/>
    <w:docVar w:name="KSO_WPS_MARK_KEY" w:val="913b9caf-549b-4ae0-915d-09f59783ad87"/>
  </w:docVars>
  <w:rsids>
    <w:rsidRoot w:val="00BE08F2"/>
    <w:rsid w:val="00062CB9"/>
    <w:rsid w:val="00077199"/>
    <w:rsid w:val="00081AE9"/>
    <w:rsid w:val="000A234C"/>
    <w:rsid w:val="00112A6B"/>
    <w:rsid w:val="00122C2D"/>
    <w:rsid w:val="00125C78"/>
    <w:rsid w:val="00185604"/>
    <w:rsid w:val="001A53C9"/>
    <w:rsid w:val="001A5423"/>
    <w:rsid w:val="001A7CA0"/>
    <w:rsid w:val="001E11C8"/>
    <w:rsid w:val="001E183A"/>
    <w:rsid w:val="00204512"/>
    <w:rsid w:val="00216695"/>
    <w:rsid w:val="00263DC1"/>
    <w:rsid w:val="002645A2"/>
    <w:rsid w:val="00274446"/>
    <w:rsid w:val="002A0C45"/>
    <w:rsid w:val="002A4263"/>
    <w:rsid w:val="002D5F93"/>
    <w:rsid w:val="002E11CF"/>
    <w:rsid w:val="00300282"/>
    <w:rsid w:val="00305C57"/>
    <w:rsid w:val="0031336C"/>
    <w:rsid w:val="00314669"/>
    <w:rsid w:val="00355DA0"/>
    <w:rsid w:val="0036137E"/>
    <w:rsid w:val="003E3B85"/>
    <w:rsid w:val="003F1764"/>
    <w:rsid w:val="00400FF1"/>
    <w:rsid w:val="004504E9"/>
    <w:rsid w:val="00457A47"/>
    <w:rsid w:val="004672F8"/>
    <w:rsid w:val="004B1F95"/>
    <w:rsid w:val="004C5856"/>
    <w:rsid w:val="004D2714"/>
    <w:rsid w:val="004F6066"/>
    <w:rsid w:val="005643DE"/>
    <w:rsid w:val="00593F18"/>
    <w:rsid w:val="005A04B9"/>
    <w:rsid w:val="005A7F1E"/>
    <w:rsid w:val="005B3BF3"/>
    <w:rsid w:val="005C4884"/>
    <w:rsid w:val="005E1707"/>
    <w:rsid w:val="00646C1D"/>
    <w:rsid w:val="006540A4"/>
    <w:rsid w:val="006803D4"/>
    <w:rsid w:val="006830E2"/>
    <w:rsid w:val="006A075C"/>
    <w:rsid w:val="006B23D6"/>
    <w:rsid w:val="006D19F1"/>
    <w:rsid w:val="006D793A"/>
    <w:rsid w:val="006E2B4D"/>
    <w:rsid w:val="006E2DC8"/>
    <w:rsid w:val="00701DFD"/>
    <w:rsid w:val="00706F89"/>
    <w:rsid w:val="00711FF5"/>
    <w:rsid w:val="00731A4F"/>
    <w:rsid w:val="00732996"/>
    <w:rsid w:val="00756D0F"/>
    <w:rsid w:val="0077727C"/>
    <w:rsid w:val="00790F87"/>
    <w:rsid w:val="007B1308"/>
    <w:rsid w:val="007C1AF4"/>
    <w:rsid w:val="007C5E85"/>
    <w:rsid w:val="00822062"/>
    <w:rsid w:val="00876300"/>
    <w:rsid w:val="0088540E"/>
    <w:rsid w:val="008935DF"/>
    <w:rsid w:val="008B1DDA"/>
    <w:rsid w:val="008C00F4"/>
    <w:rsid w:val="008C38AB"/>
    <w:rsid w:val="008E4958"/>
    <w:rsid w:val="008F0A38"/>
    <w:rsid w:val="00944429"/>
    <w:rsid w:val="00965ED8"/>
    <w:rsid w:val="00974054"/>
    <w:rsid w:val="00994757"/>
    <w:rsid w:val="00994969"/>
    <w:rsid w:val="009E0ACB"/>
    <w:rsid w:val="00A64336"/>
    <w:rsid w:val="00AC071F"/>
    <w:rsid w:val="00AD3368"/>
    <w:rsid w:val="00AD75F3"/>
    <w:rsid w:val="00AF5780"/>
    <w:rsid w:val="00B24AD3"/>
    <w:rsid w:val="00B35802"/>
    <w:rsid w:val="00B86D67"/>
    <w:rsid w:val="00BC34F6"/>
    <w:rsid w:val="00BC58C7"/>
    <w:rsid w:val="00BE08F2"/>
    <w:rsid w:val="00C13647"/>
    <w:rsid w:val="00C451E8"/>
    <w:rsid w:val="00C47814"/>
    <w:rsid w:val="00CA29E2"/>
    <w:rsid w:val="00CC1300"/>
    <w:rsid w:val="00CE5334"/>
    <w:rsid w:val="00CF658D"/>
    <w:rsid w:val="00D0750E"/>
    <w:rsid w:val="00D37843"/>
    <w:rsid w:val="00D5524A"/>
    <w:rsid w:val="00D77401"/>
    <w:rsid w:val="00DA2F9C"/>
    <w:rsid w:val="00DC00F1"/>
    <w:rsid w:val="00DC1858"/>
    <w:rsid w:val="00E000EF"/>
    <w:rsid w:val="00E24EEC"/>
    <w:rsid w:val="00E32781"/>
    <w:rsid w:val="00E6056E"/>
    <w:rsid w:val="00E61B68"/>
    <w:rsid w:val="00E9799E"/>
    <w:rsid w:val="00EB1EF3"/>
    <w:rsid w:val="00EF284B"/>
    <w:rsid w:val="00EF6526"/>
    <w:rsid w:val="00F154E2"/>
    <w:rsid w:val="00FA53D7"/>
    <w:rsid w:val="00FD1A60"/>
    <w:rsid w:val="00FE2992"/>
    <w:rsid w:val="00FF06C6"/>
    <w:rsid w:val="00FF5E46"/>
    <w:rsid w:val="4529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D76E6"/>
  <w15:docId w15:val="{9F443D53-E3AE-4C13-AE8D-7F49F8A1F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dmsonormal">
    <w:name w:val="dmsonormal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仿宋" w:hAnsi="Times New Roman" w:cs="Times New Roman"/>
      <w:sz w:val="18"/>
      <w:szCs w:val="18"/>
    </w:rPr>
  </w:style>
  <w:style w:type="paragraph" w:customStyle="1" w:styleId="1">
    <w:name w:val="修订1"/>
    <w:hidden/>
    <w:uiPriority w:val="99"/>
    <w:semiHidden/>
    <w:rPr>
      <w:rFonts w:ascii="Times New Roman" w:eastAsia="仿宋" w:hAnsi="Times New Roman" w:cs="Times New Roman"/>
      <w:kern w:val="2"/>
      <w:sz w:val="32"/>
    </w:rPr>
  </w:style>
  <w:style w:type="paragraph" w:styleId="a8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360</Words>
  <Characters>2054</Characters>
  <Application>Microsoft Office Word</Application>
  <DocSecurity>0</DocSecurity>
  <Lines>17</Lines>
  <Paragraphs>4</Paragraphs>
  <ScaleCrop>false</ScaleCrop>
  <Company>china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 勤</dc:creator>
  <cp:lastModifiedBy>勤 庞</cp:lastModifiedBy>
  <cp:revision>76</cp:revision>
  <dcterms:created xsi:type="dcterms:W3CDTF">2023-10-12T10:25:00Z</dcterms:created>
  <dcterms:modified xsi:type="dcterms:W3CDTF">2024-06-05T10:47:00Z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72D85A97B7B344F1828DF434D3CB2BD8_12</vt:lpwstr>
  </property>
</Properties>
</file>