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6E35F8">
      <w:pPr>
        <w:tabs>
          <w:tab w:val="right" w:pos="8360"/>
        </w:tabs>
        <w:jc w:val="left"/>
        <w:rPr>
          <w:rFonts w:hint="eastAsia" w:ascii="宋体" w:hAnsi="宋体" w:eastAsia="宋体" w:cs="宋体"/>
          <w:kern w:val="2"/>
          <w:sz w:val="22"/>
          <w:szCs w:val="22"/>
        </w:rPr>
      </w:pPr>
      <w:r>
        <w:rPr>
          <w:rFonts w:hint="eastAsia" w:ascii="宋体" w:hAnsi="宋体" w:eastAsia="宋体" w:cs="宋体"/>
          <w:kern w:val="2"/>
          <w:sz w:val="28"/>
          <w:szCs w:val="28"/>
        </w:rPr>
        <w:t>证券代码：000514</w:t>
      </w:r>
      <w:r>
        <w:rPr>
          <w:rFonts w:hint="eastAsia" w:ascii="宋体" w:hAnsi="宋体" w:eastAsia="宋体" w:cs="宋体"/>
          <w:kern w:val="2"/>
          <w:sz w:val="22"/>
          <w:szCs w:val="22"/>
        </w:rPr>
        <w:t xml:space="preserve"> </w:t>
      </w:r>
      <w:r>
        <w:rPr>
          <w:rFonts w:hint="eastAsia" w:ascii="宋体" w:hAnsi="宋体" w:eastAsia="宋体" w:cs="宋体"/>
          <w:kern w:val="2"/>
          <w:sz w:val="22"/>
          <w:szCs w:val="22"/>
        </w:rPr>
        <w:tab/>
      </w:r>
      <w:r>
        <w:rPr>
          <w:rFonts w:hint="eastAsia" w:ascii="宋体" w:hAnsi="宋体" w:eastAsia="宋体" w:cs="宋体"/>
          <w:kern w:val="2"/>
          <w:sz w:val="28"/>
          <w:szCs w:val="28"/>
        </w:rPr>
        <w:t>证券简称：渝 开 发</w:t>
      </w:r>
    </w:p>
    <w:p w14:paraId="50CDB0CA">
      <w:pPr>
        <w:adjustRightInd w:val="0"/>
        <w:snapToGrid w:val="0"/>
        <w:spacing w:line="400" w:lineRule="exact"/>
        <w:jc w:val="center"/>
        <w:rPr>
          <w:rFonts w:hint="eastAsia" w:ascii="黑体" w:hAnsi="宋体" w:eastAsia="黑体" w:cs="黑体"/>
          <w:color w:val="000000"/>
          <w:kern w:val="2"/>
          <w:sz w:val="36"/>
          <w:szCs w:val="36"/>
        </w:rPr>
      </w:pPr>
      <w:r>
        <w:rPr>
          <w:rFonts w:hint="eastAsia" w:ascii="黑体" w:hAnsi="宋体" w:eastAsia="黑体" w:cs="黑体"/>
          <w:color w:val="000000"/>
          <w:kern w:val="2"/>
          <w:sz w:val="36"/>
          <w:szCs w:val="36"/>
        </w:rPr>
        <w:t>重庆渝开发股份有限公司投资者</w:t>
      </w:r>
      <w:r>
        <w:rPr>
          <w:rFonts w:hint="eastAsia" w:ascii="黑体" w:hAnsi="宋体" w:eastAsia="黑体" w:cs="黑体"/>
          <w:color w:val="000000"/>
          <w:kern w:val="2"/>
          <w:sz w:val="36"/>
          <w:szCs w:val="36"/>
          <w:lang w:eastAsia="zh-CN"/>
        </w:rPr>
        <w:t>关系</w:t>
      </w:r>
      <w:r>
        <w:rPr>
          <w:rFonts w:hint="eastAsia" w:ascii="黑体" w:hAnsi="宋体" w:eastAsia="黑体" w:cs="黑体"/>
          <w:color w:val="000000"/>
          <w:kern w:val="2"/>
          <w:sz w:val="36"/>
          <w:szCs w:val="36"/>
        </w:rPr>
        <w:t>活动</w:t>
      </w:r>
    </w:p>
    <w:p w14:paraId="6B686FF4">
      <w:pPr>
        <w:adjustRightInd w:val="0"/>
        <w:snapToGrid w:val="0"/>
        <w:spacing w:line="400" w:lineRule="exact"/>
        <w:jc w:val="center"/>
        <w:rPr>
          <w:rFonts w:hint="eastAsia" w:ascii="黑体" w:hAnsi="宋体" w:eastAsia="黑体" w:cs="RDFSIJ ºÚÌå"/>
          <w:color w:val="000000"/>
          <w:kern w:val="2"/>
          <w:sz w:val="36"/>
          <w:szCs w:val="36"/>
        </w:rPr>
      </w:pPr>
      <w:r>
        <w:rPr>
          <w:rFonts w:hint="eastAsia" w:ascii="黑体" w:hAnsi="宋体" w:eastAsia="黑体" w:cs="黑体"/>
          <w:color w:val="000000"/>
          <w:kern w:val="2"/>
          <w:sz w:val="36"/>
          <w:szCs w:val="36"/>
        </w:rPr>
        <w:t>记录表</w:t>
      </w:r>
    </w:p>
    <w:p w14:paraId="4A9ED798">
      <w:pPr>
        <w:tabs>
          <w:tab w:val="right" w:pos="8360"/>
        </w:tabs>
        <w:jc w:val="right"/>
        <w:rPr>
          <w:rFonts w:hint="eastAsia" w:ascii="宋体" w:hAnsi="宋体" w:eastAsia="宋体" w:cs="宋体"/>
          <w:kern w:val="2"/>
          <w:sz w:val="28"/>
          <w:szCs w:val="28"/>
          <w:lang w:val="en-US" w:eastAsia="zh-CN"/>
        </w:rPr>
      </w:pPr>
      <w:r>
        <w:rPr>
          <w:rFonts w:hint="eastAsia" w:ascii="宋体" w:hAnsi="宋体" w:eastAsia="宋体" w:cs="宋体"/>
          <w:kern w:val="2"/>
          <w:sz w:val="28"/>
          <w:szCs w:val="28"/>
        </w:rPr>
        <w:t>编号：2025-00</w:t>
      </w:r>
      <w:r>
        <w:rPr>
          <w:rFonts w:hint="eastAsia" w:ascii="宋体" w:hAnsi="宋体" w:eastAsia="宋体" w:cs="宋体"/>
          <w:kern w:val="2"/>
          <w:sz w:val="28"/>
          <w:szCs w:val="28"/>
          <w:lang w:val="en-US" w:eastAsia="zh-CN"/>
        </w:rPr>
        <w:t>4</w:t>
      </w:r>
    </w:p>
    <w:tbl>
      <w:tblPr>
        <w:tblStyle w:val="13"/>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85"/>
        <w:gridCol w:w="7655"/>
      </w:tblGrid>
      <w:tr w14:paraId="1EC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0962CC7">
            <w:pPr>
              <w:wordWrap w:val="0"/>
              <w:adjustRightInd w:val="0"/>
              <w:snapToGrid w:val="0"/>
              <w:spacing w:after="0" w:afterAutospacing="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投资者关系活动类别</w:t>
            </w:r>
          </w:p>
        </w:tc>
        <w:tc>
          <w:tcPr>
            <w:tcW w:w="7655" w:type="dxa"/>
            <w:tcBorders>
              <w:top w:val="single" w:color="auto" w:sz="4" w:space="0"/>
              <w:left w:val="nil"/>
              <w:bottom w:val="single" w:color="auto" w:sz="4" w:space="0"/>
              <w:right w:val="single" w:color="auto" w:sz="4" w:space="0"/>
            </w:tcBorders>
            <w:shd w:val="clear" w:color="auto" w:fill="auto"/>
            <w:vAlign w:val="center"/>
          </w:tcPr>
          <w:p w14:paraId="707F629E">
            <w:pPr>
              <w:keepNext w:val="0"/>
              <w:keepLines w:val="0"/>
              <w:widowControl w:val="0"/>
              <w:suppressLineNumbers w:val="0"/>
              <w:tabs>
                <w:tab w:val="right" w:pos="8360"/>
              </w:tabs>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 xml:space="preserve">☑特定对象调研                   □分析师会议 </w:t>
            </w:r>
          </w:p>
          <w:p w14:paraId="5DF47A69">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□媒体采访                       □业绩说明会</w:t>
            </w:r>
          </w:p>
          <w:p w14:paraId="32CFF9FD">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□新闻发布会                     □路演活动</w:t>
            </w:r>
          </w:p>
          <w:p w14:paraId="213BC5FA">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□现场参观                       □电话会议</w:t>
            </w:r>
          </w:p>
          <w:p w14:paraId="6F77944E">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u w:val="single"/>
              </w:rPr>
            </w:pPr>
            <w:r>
              <w:rPr>
                <w:rFonts w:hint="eastAsia" w:ascii="宋体" w:hAnsi="宋体" w:eastAsia="宋体" w:cs="宋体"/>
                <w:color w:val="000000"/>
                <w:kern w:val="2"/>
                <w:sz w:val="24"/>
                <w:szCs w:val="24"/>
              </w:rPr>
              <w:t>□其他：</w:t>
            </w:r>
            <w:r>
              <w:rPr>
                <w:rFonts w:hint="eastAsia" w:ascii="宋体" w:hAnsi="宋体" w:eastAsia="宋体" w:cs="宋体"/>
                <w:color w:val="000000"/>
                <w:kern w:val="2"/>
                <w:sz w:val="24"/>
                <w:szCs w:val="24"/>
                <w:u w:val="single"/>
              </w:rPr>
              <w:t xml:space="preserve"> （请文字说明其他活动内容）</w:t>
            </w:r>
          </w:p>
        </w:tc>
      </w:tr>
      <w:tr w14:paraId="0A14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E1FB86F">
            <w:pPr>
              <w:wordWrap w:val="0"/>
              <w:adjustRightInd w:val="0"/>
              <w:snapToGrid w:val="0"/>
              <w:spacing w:after="0" w:afterAutospacing="0" w:line="360" w:lineRule="auto"/>
              <w:jc w:val="center"/>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参与</w:t>
            </w:r>
            <w:r>
              <w:rPr>
                <w:rFonts w:hint="eastAsia" w:ascii="宋体" w:hAnsi="宋体" w:eastAsia="宋体" w:cs="宋体"/>
                <w:kern w:val="2"/>
                <w:sz w:val="24"/>
                <w:szCs w:val="24"/>
              </w:rPr>
              <w:t>单位</w:t>
            </w:r>
            <w:r>
              <w:rPr>
                <w:rFonts w:hint="eastAsia" w:ascii="宋体" w:hAnsi="宋体" w:eastAsia="宋体" w:cs="宋体"/>
                <w:color w:val="000000"/>
                <w:kern w:val="2"/>
                <w:sz w:val="24"/>
                <w:szCs w:val="24"/>
              </w:rPr>
              <w:t xml:space="preserve">名称 </w:t>
            </w:r>
          </w:p>
          <w:p w14:paraId="452FACE5">
            <w:pPr>
              <w:wordWrap w:val="0"/>
              <w:adjustRightInd w:val="0"/>
              <w:snapToGrid w:val="0"/>
              <w:spacing w:after="0" w:afterAutospacing="0" w:line="360" w:lineRule="auto"/>
              <w:jc w:val="center"/>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及人员姓名</w:t>
            </w:r>
          </w:p>
        </w:tc>
        <w:tc>
          <w:tcPr>
            <w:tcW w:w="7655" w:type="dxa"/>
            <w:tcBorders>
              <w:top w:val="single" w:color="auto" w:sz="4" w:space="0"/>
              <w:left w:val="nil"/>
              <w:bottom w:val="single" w:color="auto" w:sz="4" w:space="0"/>
              <w:right w:val="single" w:color="auto" w:sz="4" w:space="0"/>
            </w:tcBorders>
            <w:shd w:val="clear" w:color="auto" w:fill="auto"/>
            <w:vAlign w:val="center"/>
          </w:tcPr>
          <w:p w14:paraId="2EF2D01E">
            <w:pPr>
              <w:keepNext w:val="0"/>
              <w:keepLines w:val="0"/>
              <w:widowControl w:val="0"/>
              <w:suppressLineNumbers w:val="0"/>
              <w:tabs>
                <w:tab w:val="right" w:pos="8360"/>
              </w:tabs>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兴全基金：邓荃文</w:t>
            </w:r>
          </w:p>
          <w:p w14:paraId="0C74B126">
            <w:pPr>
              <w:keepNext w:val="0"/>
              <w:keepLines w:val="0"/>
              <w:widowControl w:val="0"/>
              <w:suppressLineNumbers w:val="0"/>
              <w:tabs>
                <w:tab w:val="right" w:pos="8360"/>
              </w:tabs>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富国基金：李世伟</w:t>
            </w:r>
          </w:p>
        </w:tc>
      </w:tr>
      <w:tr w14:paraId="68D4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81A3C0E">
            <w:pPr>
              <w:wordWrap w:val="0"/>
              <w:adjustRightInd w:val="0"/>
              <w:snapToGrid w:val="0"/>
              <w:spacing w:after="0" w:afterAutospacing="0" w:line="360" w:lineRule="auto"/>
              <w:jc w:val="center"/>
              <w:rPr>
                <w:rFonts w:hint="eastAsia" w:ascii="宋体" w:hAnsi="宋体" w:eastAsia="宋体" w:cs="宋体"/>
                <w:kern w:val="2"/>
                <w:sz w:val="22"/>
                <w:szCs w:val="22"/>
              </w:rPr>
            </w:pPr>
            <w:r>
              <w:rPr>
                <w:rFonts w:hint="eastAsia" w:ascii="宋体" w:hAnsi="宋体" w:eastAsia="宋体" w:cs="宋体"/>
                <w:color w:val="000000"/>
                <w:kern w:val="2"/>
                <w:sz w:val="24"/>
                <w:szCs w:val="24"/>
              </w:rPr>
              <w:t>时间</w:t>
            </w:r>
          </w:p>
        </w:tc>
        <w:tc>
          <w:tcPr>
            <w:tcW w:w="7655" w:type="dxa"/>
            <w:tcBorders>
              <w:top w:val="single" w:color="auto" w:sz="4" w:space="0"/>
              <w:left w:val="nil"/>
              <w:bottom w:val="single" w:color="auto" w:sz="4" w:space="0"/>
              <w:right w:val="single" w:color="auto" w:sz="4" w:space="0"/>
            </w:tcBorders>
            <w:shd w:val="clear" w:color="auto" w:fill="auto"/>
            <w:vAlign w:val="center"/>
          </w:tcPr>
          <w:p w14:paraId="79181A0A">
            <w:pPr>
              <w:wordWrap w:val="0"/>
              <w:adjustRightInd w:val="0"/>
              <w:jc w:val="left"/>
              <w:rPr>
                <w:rFonts w:hint="eastAsia" w:ascii="宋体" w:hAnsi="宋体" w:eastAsia="宋体" w:cs="宋体"/>
                <w:kern w:val="2"/>
                <w:sz w:val="22"/>
                <w:szCs w:val="22"/>
              </w:rPr>
            </w:pPr>
            <w:r>
              <w:rPr>
                <w:rFonts w:hint="eastAsia" w:ascii="宋体" w:hAnsi="宋体" w:eastAsia="宋体" w:cs="宋体"/>
                <w:color w:val="000000"/>
                <w:kern w:val="2"/>
                <w:sz w:val="24"/>
                <w:szCs w:val="24"/>
              </w:rPr>
              <w:t>2025年</w:t>
            </w: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11</w:t>
            </w:r>
            <w:r>
              <w:rPr>
                <w:rFonts w:hint="eastAsia" w:ascii="宋体" w:hAnsi="宋体" w:eastAsia="宋体" w:cs="宋体"/>
                <w:color w:val="000000"/>
                <w:kern w:val="2"/>
                <w:sz w:val="24"/>
                <w:szCs w:val="24"/>
              </w:rPr>
              <w:t>日 09:30时</w:t>
            </w:r>
          </w:p>
        </w:tc>
      </w:tr>
      <w:tr w14:paraId="28CE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B2E563">
            <w:pPr>
              <w:wordWrap w:val="0"/>
              <w:adjustRightInd w:val="0"/>
              <w:snapToGrid w:val="0"/>
              <w:spacing w:after="0" w:afterAutospacing="0" w:line="360" w:lineRule="auto"/>
              <w:jc w:val="center"/>
              <w:rPr>
                <w:rFonts w:hint="eastAsia" w:ascii="宋体" w:hAnsi="宋体" w:eastAsia="宋体" w:cs="宋体"/>
                <w:kern w:val="2"/>
                <w:sz w:val="22"/>
                <w:szCs w:val="22"/>
              </w:rPr>
            </w:pPr>
            <w:r>
              <w:rPr>
                <w:rFonts w:hint="eastAsia" w:ascii="宋体" w:hAnsi="宋体" w:eastAsia="宋体" w:cs="宋体"/>
                <w:color w:val="000000"/>
                <w:kern w:val="2"/>
                <w:sz w:val="24"/>
                <w:szCs w:val="24"/>
              </w:rPr>
              <w:t>地点</w:t>
            </w:r>
          </w:p>
        </w:tc>
        <w:tc>
          <w:tcPr>
            <w:tcW w:w="7655" w:type="dxa"/>
            <w:tcBorders>
              <w:top w:val="single" w:color="auto" w:sz="4" w:space="0"/>
              <w:left w:val="nil"/>
              <w:bottom w:val="single" w:color="auto" w:sz="4" w:space="0"/>
              <w:right w:val="single" w:color="auto" w:sz="4" w:space="0"/>
            </w:tcBorders>
            <w:shd w:val="clear" w:color="auto" w:fill="auto"/>
            <w:vAlign w:val="center"/>
          </w:tcPr>
          <w:p w14:paraId="7464A982">
            <w:pPr>
              <w:keepNext w:val="0"/>
              <w:keepLines w:val="0"/>
              <w:widowControl w:val="0"/>
              <w:suppressLineNumbers w:val="0"/>
              <w:wordWrap w:val="0"/>
              <w:autoSpaceDE w:val="0"/>
              <w:autoSpaceDN w:val="0"/>
              <w:adjustRightInd w:val="0"/>
              <w:snapToGrid w:val="0"/>
              <w:spacing w:before="0" w:beforeAutospacing="0" w:after="0" w:afterAutospacing="0" w:line="266" w:lineRule="auto"/>
              <w:ind w:left="0" w:right="0"/>
              <w:jc w:val="left"/>
              <w:rPr>
                <w:rFonts w:hint="default" w:ascii="等线" w:hAnsi="等线" w:eastAsia="等线" w:cs="Times New Roman"/>
                <w:kern w:val="2"/>
                <w:sz w:val="22"/>
                <w:szCs w:val="22"/>
              </w:rPr>
            </w:pPr>
            <w:r>
              <w:rPr>
                <w:rFonts w:hint="eastAsia" w:ascii="宋体" w:hAnsi="宋体" w:eastAsia="宋体" w:cs="宋体"/>
                <w:color w:val="000000"/>
                <w:kern w:val="2"/>
                <w:sz w:val="24"/>
                <w:szCs w:val="24"/>
              </w:rPr>
              <w:t>5207会议室</w:t>
            </w:r>
          </w:p>
        </w:tc>
      </w:tr>
      <w:tr w14:paraId="2B54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5146750">
            <w:pPr>
              <w:wordWrap w:val="0"/>
              <w:adjustRightInd w:val="0"/>
              <w:snapToGrid w:val="0"/>
              <w:spacing w:after="0" w:afterAutospacing="0" w:line="360" w:lineRule="auto"/>
              <w:jc w:val="center"/>
              <w:rPr>
                <w:rFonts w:hint="eastAsia" w:ascii="宋体" w:hAnsi="宋体" w:eastAsia="宋体" w:cs="USHEHF ËÎÌå"/>
                <w:color w:val="000000"/>
                <w:kern w:val="2"/>
                <w:sz w:val="24"/>
                <w:szCs w:val="24"/>
              </w:rPr>
            </w:pPr>
            <w:r>
              <w:rPr>
                <w:rFonts w:hint="eastAsia" w:ascii="宋体" w:hAnsi="宋体" w:eastAsia="宋体" w:cs="宋体"/>
                <w:color w:val="000000"/>
                <w:kern w:val="2"/>
                <w:sz w:val="24"/>
                <w:szCs w:val="24"/>
              </w:rPr>
              <w:t>公司接待人员</w:t>
            </w:r>
          </w:p>
          <w:p w14:paraId="02E68E2F">
            <w:pPr>
              <w:wordWrap w:val="0"/>
              <w:adjustRightInd w:val="0"/>
              <w:snapToGrid w:val="0"/>
              <w:spacing w:after="0" w:afterAutospacing="0" w:line="360" w:lineRule="auto"/>
              <w:jc w:val="center"/>
              <w:rPr>
                <w:rFonts w:hint="eastAsia" w:ascii="宋体" w:hAnsi="宋体" w:eastAsia="宋体" w:cs="宋体"/>
                <w:kern w:val="2"/>
                <w:sz w:val="22"/>
                <w:szCs w:val="22"/>
              </w:rPr>
            </w:pPr>
            <w:r>
              <w:rPr>
                <w:rFonts w:hint="eastAsia" w:ascii="宋体" w:hAnsi="宋体" w:eastAsia="宋体" w:cs="宋体"/>
                <w:color w:val="000000"/>
                <w:kern w:val="2"/>
                <w:sz w:val="24"/>
                <w:szCs w:val="24"/>
              </w:rPr>
              <w:t>姓名</w:t>
            </w:r>
          </w:p>
        </w:tc>
        <w:tc>
          <w:tcPr>
            <w:tcW w:w="7655" w:type="dxa"/>
            <w:tcBorders>
              <w:top w:val="single" w:color="auto" w:sz="4" w:space="0"/>
              <w:left w:val="nil"/>
              <w:bottom w:val="single" w:color="auto" w:sz="4" w:space="0"/>
              <w:right w:val="single" w:color="auto" w:sz="4" w:space="0"/>
            </w:tcBorders>
            <w:shd w:val="clear" w:color="auto" w:fill="auto"/>
            <w:vAlign w:val="center"/>
          </w:tcPr>
          <w:p w14:paraId="6ABEFC36">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财务总监：李星一</w:t>
            </w:r>
          </w:p>
          <w:p w14:paraId="13CACE77">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证券事务代表：谌畅</w:t>
            </w:r>
          </w:p>
        </w:tc>
      </w:tr>
      <w:tr w14:paraId="0725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FABC93F">
            <w:pPr>
              <w:wordWrap w:val="0"/>
              <w:adjustRightInd w:val="0"/>
              <w:snapToGrid w:val="0"/>
              <w:spacing w:after="0" w:afterAutospacing="0" w:line="360" w:lineRule="auto"/>
              <w:jc w:val="center"/>
              <w:rPr>
                <w:rFonts w:hint="eastAsia" w:ascii="宋体" w:hAnsi="宋体" w:eastAsia="宋体" w:cs="等线"/>
                <w:color w:val="000000"/>
                <w:kern w:val="2"/>
                <w:sz w:val="24"/>
                <w:szCs w:val="24"/>
              </w:rPr>
            </w:pPr>
            <w:r>
              <w:rPr>
                <w:rFonts w:hint="eastAsia" w:ascii="宋体" w:hAnsi="宋体" w:eastAsia="宋体" w:cs="宋体"/>
                <w:color w:val="000000"/>
                <w:kern w:val="2"/>
                <w:sz w:val="24"/>
                <w:szCs w:val="24"/>
              </w:rPr>
              <w:t>投资者关系活动</w:t>
            </w:r>
          </w:p>
          <w:p w14:paraId="318ADF9E">
            <w:pPr>
              <w:wordWrap w:val="0"/>
              <w:adjustRightInd w:val="0"/>
              <w:snapToGrid w:val="0"/>
              <w:spacing w:after="0" w:afterAutospacing="0" w:line="36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主要内容介绍</w:t>
            </w:r>
          </w:p>
        </w:tc>
        <w:tc>
          <w:tcPr>
            <w:tcW w:w="7655" w:type="dxa"/>
            <w:tcBorders>
              <w:top w:val="single" w:color="auto" w:sz="4" w:space="0"/>
              <w:left w:val="nil"/>
              <w:bottom w:val="single" w:color="auto" w:sz="4" w:space="0"/>
              <w:right w:val="single" w:color="auto" w:sz="4" w:space="0"/>
            </w:tcBorders>
            <w:shd w:val="clear" w:color="auto" w:fill="auto"/>
            <w:vAlign w:val="center"/>
          </w:tcPr>
          <w:p w14:paraId="1F7514C1">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1.这几年主要业务板块（地产开发/租赁/会展/隧道等）的发展情况及战略重心？</w:t>
            </w:r>
          </w:p>
          <w:p w14:paraId="4DE86B05">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渝开发作为重庆市国有控股上市公司，近年来依托开发建设、物业服务，积极构建产业投资体系，推动产业转型升级。公司以重庆本土住宅项目为主</w:t>
            </w:r>
            <w:r>
              <w:rPr>
                <w:rFonts w:hint="eastAsia" w:cs="宋体"/>
                <w:kern w:val="2"/>
                <w:sz w:val="24"/>
                <w:szCs w:val="24"/>
                <w:lang w:eastAsia="zh-CN"/>
              </w:rPr>
              <w:t>，</w:t>
            </w:r>
            <w:r>
              <w:rPr>
                <w:rFonts w:hint="eastAsia" w:ascii="宋体" w:hAnsi="宋体" w:eastAsia="宋体" w:cs="宋体"/>
                <w:kern w:val="2"/>
                <w:sz w:val="24"/>
                <w:szCs w:val="24"/>
              </w:rPr>
              <w:t>公司除房地产开发业务外，还在物业管理、会议展览、市政设施、商业租赁等方面开展经营，在一定程度上能够有效对冲房地产市场周期波动的风险。石黄隧道的经营权由公司原控股子公司道金公司（道金公司注销后，由渝开发公司承继）收购取得，拥有20年收费运营权限</w:t>
            </w:r>
            <w:r>
              <w:rPr>
                <w:rFonts w:hint="eastAsia" w:cs="宋体"/>
                <w:kern w:val="2"/>
                <w:sz w:val="24"/>
                <w:szCs w:val="24"/>
                <w:lang w:eastAsia="zh-CN"/>
              </w:rPr>
              <w:t>，将于</w:t>
            </w:r>
            <w:r>
              <w:rPr>
                <w:rFonts w:hint="eastAsia" w:cs="宋体"/>
                <w:kern w:val="2"/>
                <w:sz w:val="24"/>
                <w:szCs w:val="24"/>
                <w:lang w:val="en-US" w:eastAsia="zh-CN"/>
              </w:rPr>
              <w:t>2026年6月到期</w:t>
            </w:r>
            <w:r>
              <w:rPr>
                <w:rFonts w:hint="eastAsia" w:ascii="宋体" w:hAnsi="宋体" w:eastAsia="宋体" w:cs="宋体"/>
                <w:kern w:val="2"/>
                <w:sz w:val="24"/>
                <w:szCs w:val="24"/>
              </w:rPr>
              <w:t>。未来，随着成渝双城经济圈建设和国企高质量发展的推进，公司将进一步增强市场经营理念，持续提升市场竞争力、影响力、战斗力，纵深推进国企改革攻坚，聚焦城市开发主力军定位。</w:t>
            </w:r>
          </w:p>
          <w:p w14:paraId="01CB6090">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2.重庆房地产市场情况</w:t>
            </w:r>
            <w:r>
              <w:rPr>
                <w:rFonts w:hint="eastAsia" w:cs="宋体"/>
                <w:kern w:val="2"/>
                <w:sz w:val="24"/>
                <w:szCs w:val="24"/>
                <w:lang w:eastAsia="zh-CN"/>
              </w:rPr>
              <w:t>如何</w:t>
            </w:r>
            <w:r>
              <w:rPr>
                <w:rFonts w:hint="eastAsia" w:ascii="宋体" w:hAnsi="宋体" w:eastAsia="宋体" w:cs="宋体"/>
                <w:kern w:val="2"/>
                <w:sz w:val="24"/>
                <w:szCs w:val="24"/>
              </w:rPr>
              <w:t>？</w:t>
            </w:r>
          </w:p>
          <w:p w14:paraId="1F9077BA">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重庆紧跟中央政策节奏，从调整新购住房再交易管理、优化住房信贷政策、支持住房“以旧换新”、加快存量商品房去化和加大住房租赁市场发展力度等多个方面，对房地产政策进行了优化。这些向好政策给企业增强了信心。</w:t>
            </w:r>
          </w:p>
          <w:p w14:paraId="64C2922A">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cs="宋体"/>
                <w:kern w:val="2"/>
                <w:sz w:val="24"/>
                <w:szCs w:val="24"/>
                <w:lang w:val="en-US" w:eastAsia="zh-CN"/>
              </w:rPr>
              <w:t>3</w:t>
            </w:r>
            <w:r>
              <w:rPr>
                <w:rFonts w:hint="eastAsia" w:ascii="宋体" w:hAnsi="宋体" w:eastAsia="宋体" w:cs="宋体"/>
                <w:kern w:val="2"/>
                <w:sz w:val="24"/>
                <w:szCs w:val="24"/>
              </w:rPr>
              <w:t>.项目开发进度</w:t>
            </w:r>
            <w:r>
              <w:rPr>
                <w:rFonts w:hint="eastAsia" w:cs="宋体"/>
                <w:kern w:val="2"/>
                <w:sz w:val="24"/>
                <w:szCs w:val="24"/>
                <w:lang w:eastAsia="zh-CN"/>
              </w:rPr>
              <w:t>如何</w:t>
            </w:r>
            <w:r>
              <w:rPr>
                <w:rFonts w:hint="eastAsia" w:ascii="宋体" w:hAnsi="宋体" w:eastAsia="宋体" w:cs="宋体"/>
                <w:kern w:val="2"/>
                <w:sz w:val="24"/>
                <w:szCs w:val="24"/>
              </w:rPr>
              <w:t>？</w:t>
            </w:r>
          </w:p>
          <w:p w14:paraId="29EB4D97">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s="宋体"/>
                <w:kern w:val="2"/>
                <w:sz w:val="24"/>
                <w:szCs w:val="24"/>
                <w:lang w:eastAsia="zh-CN"/>
              </w:rPr>
            </w:pPr>
            <w:r>
              <w:rPr>
                <w:rFonts w:hint="eastAsia" w:ascii="宋体" w:hAnsi="宋体" w:eastAsia="宋体" w:cs="宋体"/>
                <w:kern w:val="2"/>
                <w:sz w:val="24"/>
                <w:szCs w:val="24"/>
              </w:rPr>
              <w:t>公司截至2024年12月31日在建在售项目有四个，2025年一季度控股公司朗福公司变为了参股公司，现有项目为三个。分别为南岸区茶园项目三期、渝北区回兴星河博棠三期项目、九龙坡区华岩贯金和府一期。</w:t>
            </w:r>
            <w:r>
              <w:rPr>
                <w:rFonts w:hint="eastAsia" w:cs="宋体"/>
                <w:kern w:val="2"/>
                <w:sz w:val="24"/>
                <w:szCs w:val="24"/>
                <w:lang w:eastAsia="zh-CN"/>
              </w:rPr>
              <w:t>公司建立了项目全周期运营计划，预测项目全周期利润和现金流，保证公司项目决策的客观性，合理规划当期和远期的开发节奏。</w:t>
            </w:r>
          </w:p>
          <w:p w14:paraId="4CD7AD10">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cs="宋体"/>
                <w:kern w:val="2"/>
                <w:sz w:val="24"/>
                <w:szCs w:val="24"/>
                <w:lang w:val="en-US" w:eastAsia="zh-CN"/>
              </w:rPr>
              <w:t>4</w:t>
            </w:r>
            <w:r>
              <w:rPr>
                <w:rFonts w:hint="eastAsia" w:ascii="宋体" w:hAnsi="宋体" w:eastAsia="宋体" w:cs="宋体"/>
                <w:kern w:val="2"/>
                <w:sz w:val="24"/>
                <w:szCs w:val="24"/>
              </w:rPr>
              <w:t>.未来发展方向与转型？</w:t>
            </w:r>
          </w:p>
          <w:p w14:paraId="0B6EC745">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公司拟立足新时代城市开发经营服务商的总体定位，业务模式以城市开发为主业，业态以“住宅+商业”为主</w:t>
            </w:r>
            <w:bookmarkStart w:id="0" w:name="_GoBack"/>
            <w:bookmarkEnd w:id="0"/>
            <w:r>
              <w:rPr>
                <w:rFonts w:hint="eastAsia" w:ascii="宋体" w:hAnsi="宋体" w:eastAsia="宋体" w:cs="宋体"/>
                <w:kern w:val="2"/>
                <w:sz w:val="24"/>
                <w:szCs w:val="24"/>
              </w:rPr>
              <w:t>。由于地产业务具有一定的季节性和周期性，公司积极发展支撑型及拓展型业务，其中包括会展业务、资产经营业务、物业管理、代建业务、片区开发等，为公司提供多元化的收入来源。公司未来的经营模式拟定为“开发+运营”。</w:t>
            </w:r>
          </w:p>
          <w:p w14:paraId="126FBF34">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cs="宋体"/>
                <w:kern w:val="2"/>
                <w:sz w:val="24"/>
                <w:szCs w:val="24"/>
                <w:lang w:val="en-US" w:eastAsia="zh-CN"/>
              </w:rPr>
              <w:t>5</w:t>
            </w:r>
            <w:r>
              <w:rPr>
                <w:rFonts w:hint="eastAsia" w:ascii="宋体" w:hAnsi="宋体" w:eastAsia="宋体" w:cs="宋体"/>
                <w:kern w:val="2"/>
                <w:sz w:val="24"/>
                <w:szCs w:val="24"/>
              </w:rPr>
              <w:t>.定增情况？</w:t>
            </w:r>
          </w:p>
          <w:p w14:paraId="75630E7E">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2024年8月，深圳证券交易所对公司报送的向特定对象发行股票的申请文件进行了核对，予以受理。12月公司根据深交所进一步完善和补充意见，对募投项目的社区底商和幼儿园部分投入进行了重新测算并扣减，调整后募集资金总额由“不超过7亿元”，调整为“不超过6.4亿元”。2025年7月7日公司召开董事会及股东会，将向特定对象发行股票有关的股东大会决议有效期及股东大会授权董事会全权办理本次向特定对象发行股票相关事宜的有效期统一延长至2026年7月19日。目前相关工作正常推进中。</w:t>
            </w:r>
          </w:p>
        </w:tc>
      </w:tr>
      <w:tr w14:paraId="5A59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44DA530">
            <w:pPr>
              <w:wordWrap w:val="0"/>
              <w:adjustRightInd w:val="0"/>
              <w:snapToGrid w:val="0"/>
              <w:spacing w:after="0" w:afterAutospacing="0" w:line="360" w:lineRule="auto"/>
              <w:jc w:val="center"/>
              <w:rPr>
                <w:rFonts w:hint="eastAsia" w:ascii="宋体" w:hAnsi="宋体" w:eastAsia="宋体" w:cs="宋体"/>
                <w:kern w:val="2"/>
                <w:sz w:val="22"/>
                <w:szCs w:val="22"/>
              </w:rPr>
            </w:pPr>
            <w:r>
              <w:rPr>
                <w:rFonts w:hint="eastAsia" w:ascii="宋体" w:hAnsi="宋体" w:eastAsia="宋体" w:cs="宋体"/>
                <w:color w:val="000000"/>
                <w:kern w:val="2"/>
                <w:sz w:val="24"/>
                <w:szCs w:val="24"/>
              </w:rPr>
              <w:t>附件清单</w:t>
            </w:r>
          </w:p>
        </w:tc>
        <w:tc>
          <w:tcPr>
            <w:tcW w:w="7655" w:type="dxa"/>
            <w:tcBorders>
              <w:top w:val="single" w:color="auto" w:sz="4" w:space="0"/>
              <w:left w:val="nil"/>
              <w:bottom w:val="single" w:color="auto" w:sz="4" w:space="0"/>
              <w:right w:val="single" w:color="auto" w:sz="4" w:space="0"/>
            </w:tcBorders>
            <w:shd w:val="clear" w:color="auto" w:fill="auto"/>
            <w:vAlign w:val="center"/>
          </w:tcPr>
          <w:p w14:paraId="61536142">
            <w:pPr>
              <w:wordWrap w:val="0"/>
              <w:adjustRightInd w:val="0"/>
              <w:snapToGrid w:val="0"/>
              <w:jc w:val="left"/>
              <w:rPr>
                <w:rFonts w:hint="eastAsia" w:ascii="宋体" w:hAnsi="宋体" w:eastAsia="宋体" w:cs="宋体"/>
                <w:kern w:val="2"/>
                <w:sz w:val="22"/>
                <w:szCs w:val="22"/>
              </w:rPr>
            </w:pPr>
            <w:r>
              <w:rPr>
                <w:rFonts w:hint="eastAsia" w:ascii="宋体" w:hAnsi="宋体" w:eastAsia="宋体" w:cs="宋体"/>
                <w:color w:val="000000"/>
                <w:kern w:val="2"/>
                <w:sz w:val="24"/>
                <w:szCs w:val="24"/>
              </w:rPr>
              <w:t>无</w:t>
            </w:r>
          </w:p>
        </w:tc>
      </w:tr>
      <w:tr w14:paraId="5B9B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346301A">
            <w:pPr>
              <w:wordWrap w:val="0"/>
              <w:adjustRightInd w:val="0"/>
              <w:snapToGrid w:val="0"/>
              <w:spacing w:after="0" w:afterAutospacing="0" w:line="360" w:lineRule="auto"/>
              <w:jc w:val="center"/>
              <w:rPr>
                <w:rFonts w:hint="eastAsia" w:ascii="宋体" w:hAnsi="宋体" w:eastAsia="宋体" w:cs="宋体"/>
                <w:kern w:val="2"/>
                <w:sz w:val="22"/>
                <w:szCs w:val="22"/>
              </w:rPr>
            </w:pPr>
            <w:r>
              <w:rPr>
                <w:rFonts w:hint="eastAsia" w:ascii="宋体" w:hAnsi="宋体" w:eastAsia="宋体" w:cs="宋体"/>
                <w:color w:val="000000"/>
                <w:kern w:val="2"/>
                <w:sz w:val="24"/>
                <w:szCs w:val="24"/>
              </w:rPr>
              <w:t>日期</w:t>
            </w:r>
          </w:p>
        </w:tc>
        <w:tc>
          <w:tcPr>
            <w:tcW w:w="7655" w:type="dxa"/>
            <w:tcBorders>
              <w:top w:val="single" w:color="auto" w:sz="4" w:space="0"/>
              <w:left w:val="nil"/>
              <w:bottom w:val="single" w:color="auto" w:sz="4" w:space="0"/>
              <w:right w:val="single" w:color="auto" w:sz="4" w:space="0"/>
            </w:tcBorders>
            <w:shd w:val="clear" w:color="auto" w:fill="auto"/>
            <w:vAlign w:val="center"/>
          </w:tcPr>
          <w:p w14:paraId="5C19CCA3">
            <w:pPr>
              <w:wordWrap w:val="0"/>
              <w:adjustRightInd w:val="0"/>
              <w:snapToGrid w:val="0"/>
              <w:jc w:val="left"/>
              <w:rPr>
                <w:rFonts w:hint="eastAsia" w:ascii="宋体" w:hAnsi="宋体" w:eastAsia="宋体" w:cs="宋体"/>
                <w:kern w:val="2"/>
                <w:sz w:val="22"/>
                <w:szCs w:val="22"/>
              </w:rPr>
            </w:pPr>
            <w:r>
              <w:rPr>
                <w:rFonts w:hint="eastAsia" w:ascii="宋体" w:hAnsi="宋体" w:eastAsia="宋体" w:cs="宋体"/>
                <w:color w:val="000000"/>
                <w:kern w:val="2"/>
                <w:sz w:val="24"/>
                <w:szCs w:val="24"/>
              </w:rPr>
              <w:t>2025年</w:t>
            </w: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11</w:t>
            </w:r>
            <w:r>
              <w:rPr>
                <w:rFonts w:hint="eastAsia" w:ascii="宋体" w:hAnsi="宋体" w:eastAsia="宋体" w:cs="宋体"/>
                <w:color w:val="000000"/>
                <w:kern w:val="2"/>
                <w:sz w:val="24"/>
                <w:szCs w:val="24"/>
              </w:rPr>
              <w:t>日</w:t>
            </w:r>
          </w:p>
        </w:tc>
      </w:tr>
    </w:tbl>
    <w:p w14:paraId="214ECF90">
      <w:pPr>
        <w:jc w:val="left"/>
        <w:rPr>
          <w:rFonts w:hint="default" w:ascii="等线" w:hAnsi="等线" w:eastAsia="等线" w:cs="Times New Roman"/>
          <w:kern w:val="2"/>
          <w:sz w:val="22"/>
          <w:szCs w:val="22"/>
        </w:rPr>
      </w:pPr>
      <w:r>
        <w:rPr>
          <w:rFonts w:hint="default" w:ascii="等线" w:hAnsi="等线" w:eastAsia="等线" w:cs="Times New Roman"/>
          <w:kern w:val="2"/>
          <w:sz w:val="22"/>
          <w:szCs w:val="22"/>
        </w:rPr>
        <w:t xml:space="preserve"> </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RDFSIJ ºÚÌå">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SHEHF ËÎÌå">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40"/>
  <w:drawingGridVerticalSpacing w:val="157"/>
  <w:displayHorizontalDrawingGridEvery w:val="1"/>
  <w:displayVerticalDrawingGridEvery w:val="1"/>
  <w:noPunctuationKerning w:val="1"/>
  <w:characterSpacingControl w:val="compressPunctuation"/>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23A3"/>
    <w:rsid w:val="100970F6"/>
    <w:rsid w:val="111003E2"/>
    <w:rsid w:val="3B302256"/>
    <w:rsid w:val="482E6082"/>
    <w:rsid w:val="514F2CE2"/>
    <w:rsid w:val="54AA40B8"/>
    <w:rsid w:val="6E120CEF"/>
    <w:rsid w:val="70BD7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suppressLineNumbers w:val="0"/>
      <w:spacing w:before="120" w:beforeAutospacing="0" w:after="240" w:afterAutospacing="0"/>
      <w:ind w:left="0" w:right="0"/>
      <w:jc w:val="both"/>
    </w:pPr>
    <w:rPr>
      <w:rFonts w:hint="default" w:ascii="等线" w:hAnsi="等线" w:eastAsia="等线" w:cs="Times New Roman"/>
      <w:kern w:val="2"/>
      <w:sz w:val="22"/>
      <w:szCs w:val="22"/>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unhideWhenUsed/>
    <w:qFormat/>
    <w:uiPriority w:val="99"/>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等线" w:hAnsi="等线" w:eastAsia="等线" w:cs="等线"/>
      <w:sz w:val="20"/>
      <w:szCs w:val="20"/>
    </w:rPr>
    <w:tblPr>
      <w:tblCellMar>
        <w:top w:w="0" w:type="dxa"/>
        <w:left w:w="108" w:type="dxa"/>
        <w:bottom w:w="0" w:type="dxa"/>
        <w:right w:w="108" w:type="dxa"/>
      </w:tblCellMar>
    </w:tblPr>
  </w:style>
  <w:style w:type="paragraph" w:styleId="8">
    <w:name w:val="footer"/>
    <w:basedOn w:val="1"/>
    <w:qFormat/>
    <w:uiPriority w:val="0"/>
    <w:pPr>
      <w:keepNext w:val="0"/>
      <w:keepLines w:val="0"/>
      <w:widowControl/>
      <w:suppressLineNumbers w:val="0"/>
      <w:tabs>
        <w:tab w:val="center" w:pos="4153"/>
        <w:tab w:val="right" w:pos="8306"/>
      </w:tabs>
      <w:snapToGrid w:val="0"/>
      <w:spacing w:before="120" w:beforeAutospacing="0" w:after="240" w:afterAutospacing="0"/>
      <w:ind w:left="0" w:right="0"/>
      <w:jc w:val="left"/>
    </w:pPr>
    <w:rPr>
      <w:rFonts w:hint="default" w:ascii="等线" w:hAnsi="等线" w:eastAsia="等线" w:cs="Times New Roman"/>
      <w:kern w:val="2"/>
      <w:sz w:val="18"/>
      <w:szCs w:val="18"/>
      <w:lang w:val="en-US" w:eastAsia="zh-CN" w:bidi="ar"/>
    </w:rPr>
  </w:style>
  <w:style w:type="paragraph" w:styleId="9">
    <w:name w:val="header"/>
    <w:basedOn w:val="1"/>
    <w:qFormat/>
    <w:uiPriority w:val="0"/>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120" w:beforeAutospacing="0" w:after="240" w:afterAutospacing="0"/>
      <w:ind w:left="0" w:right="0"/>
      <w:jc w:val="center"/>
    </w:pPr>
    <w:rPr>
      <w:rFonts w:hint="default" w:ascii="等线" w:hAnsi="等线" w:eastAsia="等线" w:cs="Times New Roman"/>
      <w:kern w:val="2"/>
      <w:sz w:val="18"/>
      <w:szCs w:val="18"/>
      <w:lang w:val="en-US" w:eastAsia="zh-CN" w:bidi="ar"/>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rFonts w:hint="default" w:ascii="等线" w:hAnsi="等线" w:eastAsia="等线" w:cs="等线"/>
      <w:kern w:val="0"/>
      <w:sz w:val="24"/>
      <w:szCs w:val="24"/>
      <w:lang w:val="en-US" w:eastAsia="zh-CN" w:bidi="ar"/>
    </w:rPr>
  </w:style>
  <w:style w:type="table" w:styleId="13">
    <w:name w:val="Table Grid"/>
    <w:basedOn w:val="12"/>
    <w:semiHidden/>
    <w:unhideWhenUsed/>
    <w:qFormat/>
    <w:uiPriority w:val="99"/>
    <w:pPr>
      <w:keepNext w:val="0"/>
      <w:keepLines w:val="0"/>
      <w:widowControl/>
      <w:suppressLineNumbers w:val="0"/>
      <w:spacing w:before="0" w:beforeAutospacing="0" w:after="0" w:afterAutospacing="0"/>
      <w:ind w:left="0" w:right="0"/>
    </w:pPr>
    <w:rPr>
      <w:rFonts w:hint="default" w:ascii="等线" w:hAnsi="等线" w:eastAsia="等线" w:cs="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HTML 预设格式 Char"/>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6">
    <w:name w:val="pre Char"/>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7">
    <w:name w:val="p Char"/>
    <w:basedOn w:val="1"/>
    <w:qFormat/>
    <w:uiPriority w:val="0"/>
    <w:pPr>
      <w:keepNext w:val="0"/>
      <w:keepLines w:val="0"/>
      <w:widowControl/>
      <w:suppressLineNumbers w:val="0"/>
      <w:spacing w:before="0" w:beforeAutospacing="1" w:after="0" w:afterAutospacing="1"/>
      <w:ind w:left="0" w:right="0"/>
      <w:jc w:val="left"/>
    </w:pPr>
    <w:rPr>
      <w:rFonts w:hint="default" w:ascii="等线" w:hAnsi="等线" w:eastAsia="等线" w:cs="等线"/>
      <w:kern w:val="0"/>
      <w:sz w:val="24"/>
      <w:szCs w:val="24"/>
      <w:lang w:val="en-US" w:eastAsia="zh-CN" w:bidi="ar"/>
    </w:rPr>
  </w:style>
  <w:style w:type="character" w:customStyle="1" w:styleId="18">
    <w:name w:val="19"/>
    <w:basedOn w:val="14"/>
    <w:qFormat/>
    <w:uiPriority w:val="0"/>
    <w:rPr>
      <w:rFonts w:hint="default" w:ascii="等线" w:hAnsi="等线" w:eastAsia="等线" w:cs="Times New Roman"/>
      <w:sz w:val="18"/>
      <w:szCs w:val="18"/>
    </w:rPr>
  </w:style>
  <w:style w:type="character" w:customStyle="1" w:styleId="19">
    <w:name w:val="16"/>
    <w:basedOn w:val="14"/>
    <w:qFormat/>
    <w:uiPriority w:val="0"/>
    <w:rPr>
      <w:rFonts w:hint="default" w:ascii="等线" w:hAnsi="等线" w:eastAsia="等线" w:cs="Times New Roman"/>
      <w:sz w:val="18"/>
      <w:szCs w:val="18"/>
    </w:rPr>
  </w:style>
  <w:style w:type="paragraph" w:customStyle="1" w:styleId="20">
    <w:name w:val="msonormal1"/>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1">
    <w:name w:val="10"/>
    <w:basedOn w:val="14"/>
    <w:qFormat/>
    <w:uiPriority w:val="0"/>
    <w:rPr>
      <w:rFonts w:hint="default" w:ascii="Times New Roman" w:hAnsi="Times New Roman" w:cs="Times New Roman"/>
    </w:rPr>
  </w:style>
  <w:style w:type="character" w:customStyle="1" w:styleId="22">
    <w:name w:val="15"/>
    <w:basedOn w:val="14"/>
    <w:qFormat/>
    <w:uiPriority w:val="0"/>
    <w:rPr>
      <w:rFonts w:hint="default" w:ascii="Wingdings" w:hAnsi="Wingdings" w:cs="Wingdings"/>
    </w:rPr>
  </w:style>
  <w:style w:type="character" w:customStyle="1" w:styleId="23">
    <w:name w:val="20"/>
    <w:basedOn w:val="14"/>
    <w:qFormat/>
    <w:uiPriority w:val="0"/>
    <w:rPr>
      <w:rFonts w:hint="default" w:ascii="等线" w:hAnsi="等线" w:eastAsia="等线" w:cs="等线"/>
    </w:rPr>
  </w:style>
  <w:style w:type="character" w:customStyle="1" w:styleId="24">
    <w:name w:val="17"/>
    <w:basedOn w:val="14"/>
    <w:qFormat/>
    <w:uiPriority w:val="0"/>
    <w:rPr>
      <w:rFonts w:hint="default" w:ascii="Times New Roman" w:hAnsi="Times New Roman" w:cs="Times New Roman"/>
    </w:rPr>
  </w:style>
  <w:style w:type="character" w:customStyle="1" w:styleId="25">
    <w:name w:val="18"/>
    <w:basedOn w:val="14"/>
    <w:qFormat/>
    <w:uiPriority w:val="0"/>
    <w:rPr>
      <w:rFonts w:hint="default" w:ascii="等线" w:hAnsi="等线" w:eastAsia="等线" w:cs="等线"/>
      <w:b/>
    </w:rPr>
  </w:style>
  <w:style w:type="paragraph" w:customStyle="1" w:styleId="26">
    <w:name w:val="普通(网站) Char"/>
    <w:basedOn w:val="1"/>
    <w:qFormat/>
    <w:uiPriority w:val="0"/>
    <w:pPr>
      <w:keepNext w:val="0"/>
      <w:keepLines w:val="0"/>
      <w:widowControl/>
      <w:suppressLineNumbers w:val="0"/>
      <w:spacing w:before="0" w:beforeAutospacing="1" w:after="0" w:afterAutospacing="1"/>
      <w:ind w:left="0" w:right="0"/>
      <w:jc w:val="left"/>
    </w:pPr>
    <w:rPr>
      <w:rFonts w:hint="default" w:ascii="等线" w:hAnsi="等线" w:eastAsia="等线" w:cs="等线"/>
      <w:kern w:val="0"/>
      <w:sz w:val="24"/>
      <w:szCs w:val="24"/>
      <w:lang w:val="en-US" w:eastAsia="zh-CN" w:bidi="ar"/>
    </w:rPr>
  </w:style>
  <w:style w:type="paragraph" w:customStyle="1" w:styleId="27">
    <w:name w:val="普通(网站) Char Char"/>
    <w:basedOn w:val="1"/>
    <w:qFormat/>
    <w:uiPriority w:val="0"/>
    <w:pPr>
      <w:keepNext w:val="0"/>
      <w:keepLines w:val="0"/>
      <w:widowControl/>
      <w:suppressLineNumbers w:val="0"/>
      <w:spacing w:before="0" w:beforeAutospacing="1" w:after="0" w:afterAutospacing="1"/>
      <w:ind w:left="0" w:right="0"/>
      <w:jc w:val="left"/>
    </w:pPr>
    <w:rPr>
      <w:rFonts w:hint="default" w:ascii="等线" w:hAnsi="等线" w:eastAsia="等线" w:cs="等线"/>
      <w:kern w:val="0"/>
      <w:sz w:val="24"/>
      <w:szCs w:val="24"/>
      <w:lang w:val="en-US" w:eastAsia="zh-CN" w:bidi="ar"/>
    </w:rPr>
  </w:style>
  <w:style w:type="paragraph" w:customStyle="1" w:styleId="28">
    <w:name w:val="HTML 预设格式 Char Char"/>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9">
    <w:name w:val="dmsonormal"/>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1239</Words>
  <Characters>1296</Characters>
  <Lines>34</Lines>
  <Paragraphs>24</Paragraphs>
  <TotalTime>18</TotalTime>
  <ScaleCrop>false</ScaleCrop>
  <LinksUpToDate>false</LinksUpToDate>
  <CharactersWithSpaces>1392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2025-06-05T07:53:00Z</dcterms:created>
  <dc:creator>cninfo</dc:creator>
  <cp:lastModifiedBy>_周小旋_</cp:lastModifiedBy>
  <cp:lastPrinted>2025-07-11T01:16:00Z</cp:lastPrinted>
  <dcterms:modified xsi:type="dcterms:W3CDTF">2025-07-11T06:30:33Z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eyJoZGlkIjoiMTk4YTBiYjc2YzQxNTgwYjQ5MGJlODgyNTI3YmI4ZWUiLCJ1c2VySWQiOiIyMDY2NjIzMTgifQ==</vt:lpwstr>
  </property>
  <property fmtid="{D5CDD505-2E9C-101B-9397-08002B2CF9AE}" pid="3" name="KSOProductBuildVer">
    <vt:lpwstr>2052-12.1.0.21915</vt:lpwstr>
  </property>
  <property fmtid="{D5CDD505-2E9C-101B-9397-08002B2CF9AE}" pid="4" name="ICV">
    <vt:lpwstr>D9298F35C3D0424A99B574625A6231F9_13</vt:lpwstr>
  </property>
</Properties>
</file>