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Theme="majorEastAsia" w:hAnsiTheme="majorEastAsia" w:eastAsiaTheme="majorEastAsia"/>
          <w:bCs/>
          <w:i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iCs/>
          <w:color w:val="000000"/>
          <w:sz w:val="28"/>
          <w:szCs w:val="28"/>
        </w:rPr>
        <w:t>·证券代码：</w:t>
      </w:r>
      <w:r>
        <w:rPr>
          <w:rFonts w:asciiTheme="majorEastAsia" w:hAnsiTheme="majorEastAsia" w:eastAsiaTheme="majorEastAsia"/>
          <w:bCs/>
          <w:iCs/>
          <w:color w:val="000000"/>
          <w:sz w:val="28"/>
          <w:szCs w:val="28"/>
        </w:rPr>
        <w:t xml:space="preserve">000514                       </w:t>
      </w:r>
      <w:r>
        <w:rPr>
          <w:rFonts w:hint="eastAsia" w:asciiTheme="majorEastAsia" w:hAnsiTheme="majorEastAsia" w:eastAsiaTheme="majorEastAsia"/>
          <w:bCs/>
          <w:iCs/>
          <w:color w:val="000000"/>
          <w:sz w:val="28"/>
          <w:szCs w:val="28"/>
        </w:rPr>
        <w:t>证券简称：渝开发</w:t>
      </w:r>
    </w:p>
    <w:p>
      <w:pPr>
        <w:ind w:firstLine="0" w:firstLineChars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>
      <w:pPr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iCs/>
          <w:color w:val="000000"/>
          <w:sz w:val="36"/>
          <w:szCs w:val="36"/>
        </w:rPr>
        <w:t>重庆渝开发股份有限公司投资者关系活动</w:t>
      </w:r>
    </w:p>
    <w:p>
      <w:pPr>
        <w:ind w:firstLine="0" w:firstLineChars="0"/>
        <w:jc w:val="center"/>
        <w:rPr>
          <w:rFonts w:ascii="黑体" w:hAnsi="黑体" w:eastAsia="黑体"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iCs/>
          <w:color w:val="000000"/>
          <w:sz w:val="36"/>
          <w:szCs w:val="36"/>
        </w:rPr>
        <w:t>记录表</w:t>
      </w:r>
    </w:p>
    <w:p>
      <w:pPr>
        <w:spacing w:line="360" w:lineRule="auto"/>
        <w:ind w:firstLine="0" w:firstLineChars="0"/>
        <w:rPr>
          <w:rFonts w:hint="default" w:asciiTheme="minorEastAsia" w:hAnsiTheme="minorEastAsia" w:eastAsiaTheme="minorEastAsia"/>
          <w:bCs/>
          <w:iCs/>
          <w:color w:val="000000"/>
          <w:sz w:val="28"/>
          <w:szCs w:val="28"/>
          <w:lang w:val="en-US" w:eastAsia="zh-CN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eastAsiaTheme="minorEastAsia"/>
          <w:bCs/>
          <w:iCs/>
          <w:color w:val="000000"/>
          <w:sz w:val="28"/>
          <w:szCs w:val="28"/>
        </w:rPr>
        <w:t xml:space="preserve">        编号：</w:t>
      </w:r>
      <w:r>
        <w:rPr>
          <w:rFonts w:hint="eastAsia" w:asciiTheme="minorEastAsia" w:hAnsiTheme="minorEastAsia" w:eastAsiaTheme="minorEastAsia"/>
          <w:bCs/>
          <w:iCs/>
          <w:color w:val="000000"/>
          <w:sz w:val="28"/>
          <w:szCs w:val="28"/>
          <w:lang w:val="en-US" w:eastAsia="zh-CN"/>
        </w:rPr>
        <w:t>2024-003</w:t>
      </w:r>
    </w:p>
    <w:tbl>
      <w:tblPr>
        <w:tblStyle w:val="4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个人投资者：付炀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间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cs="USHEHF+ËÎÌå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2024年7月22日 17:30-18:00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点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="0" w:firstLineChars="0"/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eastAsia="zh-CN"/>
              </w:rPr>
              <w:t>投资大厦</w:t>
            </w: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董事会秘书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="0" w:firstLineChars="0"/>
              <w:rPr>
                <w:rFonts w:cs="USHEHF+ËÎÌå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董事会秘书谢勇彬、证券事务代表谌畅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ordWrap w:val="0"/>
              <w:spacing w:before="156" w:beforeLines="50" w:beforeAutospacing="0" w:after="93" w:afterLines="30" w:afterAutospacing="0" w:line="276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1、重庆处于发展比较好的时期，公司又处在成渝经济圈，城投集团对渝开发除融资担保支持外，是否还有其他支持？</w:t>
            </w:r>
          </w:p>
          <w:p>
            <w:pPr>
              <w:pStyle w:val="7"/>
              <w:wordWrap w:val="0"/>
              <w:spacing w:before="156" w:beforeLines="50" w:beforeAutospacing="0" w:after="93" w:afterLines="30" w:afterAutospacing="0" w:line="276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答：公司主营业务为房地产，城投集团作为公司控股股东重视公司未来发展，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本次公司向特定对象发行股票得到了城投集团的支持，意在增加公司资本实力，把公司做大做强，降低公司融资杠杆风险，在合法合规的原则下对公司进行支持。</w:t>
            </w:r>
          </w:p>
          <w:p>
            <w:pPr>
              <w:pStyle w:val="7"/>
              <w:wordWrap w:val="0"/>
              <w:spacing w:before="156" w:beforeLines="50" w:beforeAutospacing="0" w:after="93" w:afterLines="30" w:afterAutospacing="0" w:line="276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</w:p>
          <w:p>
            <w:pPr>
              <w:pStyle w:val="7"/>
              <w:wordWrap w:val="0"/>
              <w:spacing w:before="156" w:beforeLines="50" w:beforeAutospacing="0" w:after="93" w:afterLines="30" w:afterAutospacing="0" w:line="276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</w:p>
          <w:p>
            <w:pPr>
              <w:pStyle w:val="7"/>
              <w:wordWrap w:val="0"/>
              <w:spacing w:before="156" w:beforeLines="50" w:beforeAutospacing="0" w:after="93" w:afterLines="30" w:afterAutospacing="0" w:line="276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ordWrap w:val="0"/>
              <w:spacing w:before="156" w:beforeLines="50" w:beforeAutospacing="0" w:after="93" w:afterLines="30" w:afterAutospacing="0"/>
              <w:jc w:val="both"/>
              <w:rPr>
                <w:rFonts w:hint="eastAsia" w:asciiTheme="minorEastAsia" w:hAnsiTheme="minorEastAsia" w:eastAsiaTheme="minorEastAsia"/>
                <w:kern w:val="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2024年7月22日</w:t>
            </w:r>
          </w:p>
        </w:tc>
      </w:tr>
    </w:tbl>
    <w:p>
      <w:pPr>
        <w:ind w:firstLine="0" w:firstLineChars="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SHEHF+ËÎÌå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YTBiYjc2YzQxNTgwYjQ5MGJlODgyNTI3YmI4ZWUifQ=="/>
  </w:docVars>
  <w:rsids>
    <w:rsidRoot w:val="00BE08F2"/>
    <w:rsid w:val="000A234C"/>
    <w:rsid w:val="00112A6B"/>
    <w:rsid w:val="00122C2D"/>
    <w:rsid w:val="001A53C9"/>
    <w:rsid w:val="001A7CA0"/>
    <w:rsid w:val="001E183A"/>
    <w:rsid w:val="00204512"/>
    <w:rsid w:val="00216695"/>
    <w:rsid w:val="002645A2"/>
    <w:rsid w:val="00274446"/>
    <w:rsid w:val="002A0C45"/>
    <w:rsid w:val="002A4263"/>
    <w:rsid w:val="002E11CF"/>
    <w:rsid w:val="00305C57"/>
    <w:rsid w:val="0031336C"/>
    <w:rsid w:val="00355DA0"/>
    <w:rsid w:val="003E3B85"/>
    <w:rsid w:val="003F1764"/>
    <w:rsid w:val="004672F8"/>
    <w:rsid w:val="004F6066"/>
    <w:rsid w:val="00593F18"/>
    <w:rsid w:val="005A04B9"/>
    <w:rsid w:val="005A7F1E"/>
    <w:rsid w:val="005B3BF3"/>
    <w:rsid w:val="005C4884"/>
    <w:rsid w:val="005E1707"/>
    <w:rsid w:val="00646C1D"/>
    <w:rsid w:val="006830E2"/>
    <w:rsid w:val="006B23D6"/>
    <w:rsid w:val="006D19F1"/>
    <w:rsid w:val="006E2B4D"/>
    <w:rsid w:val="00732996"/>
    <w:rsid w:val="00756D0F"/>
    <w:rsid w:val="0077727C"/>
    <w:rsid w:val="00790F87"/>
    <w:rsid w:val="007B1308"/>
    <w:rsid w:val="007C1AF4"/>
    <w:rsid w:val="007C5E85"/>
    <w:rsid w:val="00822062"/>
    <w:rsid w:val="008935DF"/>
    <w:rsid w:val="008C00F4"/>
    <w:rsid w:val="008C38AB"/>
    <w:rsid w:val="008E4958"/>
    <w:rsid w:val="00965ED8"/>
    <w:rsid w:val="00974054"/>
    <w:rsid w:val="00994757"/>
    <w:rsid w:val="00994969"/>
    <w:rsid w:val="009E0ACB"/>
    <w:rsid w:val="00A64336"/>
    <w:rsid w:val="00AC071F"/>
    <w:rsid w:val="00AD3368"/>
    <w:rsid w:val="00AD75F3"/>
    <w:rsid w:val="00B35802"/>
    <w:rsid w:val="00B86D67"/>
    <w:rsid w:val="00BC34F6"/>
    <w:rsid w:val="00BE08F2"/>
    <w:rsid w:val="00C13647"/>
    <w:rsid w:val="00C451E8"/>
    <w:rsid w:val="00C47814"/>
    <w:rsid w:val="00CA29E2"/>
    <w:rsid w:val="00CF658D"/>
    <w:rsid w:val="00D77401"/>
    <w:rsid w:val="00DA2F9C"/>
    <w:rsid w:val="00DC1858"/>
    <w:rsid w:val="00E000EF"/>
    <w:rsid w:val="00E24EEC"/>
    <w:rsid w:val="00E32781"/>
    <w:rsid w:val="00E61B68"/>
    <w:rsid w:val="00E9799E"/>
    <w:rsid w:val="00FA53D7"/>
    <w:rsid w:val="00FF06C6"/>
    <w:rsid w:val="00FF5E46"/>
    <w:rsid w:val="0D6C54A3"/>
    <w:rsid w:val="13ED6ED9"/>
    <w:rsid w:val="171169D6"/>
    <w:rsid w:val="19EB6572"/>
    <w:rsid w:val="20C100CD"/>
    <w:rsid w:val="30FF6580"/>
    <w:rsid w:val="43D96118"/>
    <w:rsid w:val="467A347D"/>
    <w:rsid w:val="4D251938"/>
    <w:rsid w:val="54F47C8D"/>
    <w:rsid w:val="7D8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339</Words>
  <Characters>369</Characters>
  <Lines>12</Lines>
  <Paragraphs>3</Paragraphs>
  <TotalTime>0</TotalTime>
  <ScaleCrop>false</ScaleCrop>
  <LinksUpToDate>false</LinksUpToDate>
  <CharactersWithSpaces>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2023-10-12T10:25:00Z</dcterms:created>
  <dc:creator>庞 勤</dc:creator>
  <cp:lastModifiedBy>_周小旋_</cp:lastModifiedBy>
  <cp:lastPrinted>2024-07-22T10:22:00Z</cp:lastPrinted>
  <dcterms:modified xsi:type="dcterms:W3CDTF">2024-07-22T10:30:03Z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A9D0D0793AE34E24A41579AC416351E3_12</vt:lpwstr>
  </property>
</Properties>
</file>